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55F2" w14:textId="4BC04B3F" w:rsidR="00C279AF" w:rsidRDefault="00376544" w:rsidP="00376544">
      <w:pPr>
        <w:spacing w:after="0" w:line="276" w:lineRule="auto"/>
        <w:jc w:val="both"/>
        <w:rPr>
          <w:rFonts w:ascii="Rubik" w:hAnsi="Rubik" w:cs="Rubik"/>
          <w:b/>
          <w:bCs/>
          <w:sz w:val="24"/>
          <w:szCs w:val="24"/>
        </w:rPr>
      </w:pPr>
      <w:r w:rsidRPr="00376544">
        <w:rPr>
          <w:rFonts w:ascii="Rubik" w:hAnsi="Rubik" w:cs="Rubik"/>
          <w:b/>
          <w:bCs/>
          <w:sz w:val="24"/>
          <w:szCs w:val="24"/>
        </w:rPr>
        <w:t>F. Bianchi</w:t>
      </w:r>
      <w:r w:rsidR="002F2574" w:rsidRPr="00376544">
        <w:rPr>
          <w:rFonts w:ascii="Rubik" w:hAnsi="Rubik" w:cs="Rubik"/>
          <w:b/>
          <w:bCs/>
          <w:sz w:val="24"/>
          <w:szCs w:val="24"/>
        </w:rPr>
        <w:t xml:space="preserve">, </w:t>
      </w:r>
      <w:r w:rsidRPr="00376544">
        <w:rPr>
          <w:rFonts w:ascii="Rubik" w:hAnsi="Rubik" w:cs="Rubik"/>
          <w:b/>
          <w:bCs/>
          <w:i/>
          <w:iCs/>
          <w:sz w:val="24"/>
          <w:szCs w:val="24"/>
        </w:rPr>
        <w:t>La pedagogia del lavoro</w:t>
      </w:r>
      <w:r w:rsidR="002F2574" w:rsidRPr="002F2574">
        <w:rPr>
          <w:rFonts w:ascii="Rubik" w:hAnsi="Rubik" w:cs="Rubik"/>
          <w:b/>
          <w:bCs/>
          <w:sz w:val="24"/>
          <w:szCs w:val="24"/>
        </w:rPr>
        <w:t>, Franco Angeli</w:t>
      </w:r>
      <w:r>
        <w:rPr>
          <w:rFonts w:ascii="Rubik" w:hAnsi="Rubik" w:cs="Rubik"/>
          <w:b/>
          <w:bCs/>
          <w:sz w:val="24"/>
          <w:szCs w:val="24"/>
        </w:rPr>
        <w:t>, Milano 2022</w:t>
      </w:r>
      <w:r w:rsidR="002F2574" w:rsidRPr="002F2574">
        <w:rPr>
          <w:rFonts w:ascii="Rubik" w:hAnsi="Rubik" w:cs="Rubik"/>
          <w:b/>
          <w:bCs/>
          <w:sz w:val="24"/>
          <w:szCs w:val="24"/>
        </w:rPr>
        <w:t>.</w:t>
      </w:r>
    </w:p>
    <w:p w14:paraId="03D49BD0" w14:textId="77777777" w:rsidR="002F2574" w:rsidRPr="002F2574" w:rsidRDefault="002F2574" w:rsidP="00376544">
      <w:pPr>
        <w:spacing w:after="0" w:line="276" w:lineRule="auto"/>
        <w:jc w:val="both"/>
        <w:rPr>
          <w:rFonts w:ascii="Rubik" w:hAnsi="Rubik" w:cs="Rubik"/>
          <w:sz w:val="24"/>
          <w:szCs w:val="24"/>
        </w:rPr>
      </w:pPr>
    </w:p>
    <w:p w14:paraId="284AB543" w14:textId="54FBAB9F" w:rsidR="002F2574" w:rsidRPr="002F2574" w:rsidRDefault="002F2574" w:rsidP="00376544">
      <w:pPr>
        <w:spacing w:after="0" w:line="276" w:lineRule="auto"/>
        <w:jc w:val="both"/>
        <w:rPr>
          <w:rFonts w:ascii="Rubik" w:hAnsi="Rubik" w:cs="Rubik"/>
        </w:rPr>
      </w:pPr>
      <w:r w:rsidRPr="002F2574">
        <w:rPr>
          <w:rFonts w:ascii="Rubik" w:hAnsi="Rubik" w:cs="Rubik"/>
        </w:rPr>
        <w:t>Formazione in assetto lavorativo e l’apprendistato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vengono ancora considerati come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«istituti destinati soltanto ai giovani che non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riescono ad andare bene a scuola, disadattati,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bocciati, dispersi e non meritevoli, come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uno strumento di serie B, non adatto a formare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studenti colti e vincenti» (ivi, p. 75).</w:t>
      </w:r>
    </w:p>
    <w:p w14:paraId="55188688" w14:textId="77777777" w:rsidR="002F2574" w:rsidRPr="002F2574" w:rsidRDefault="002F2574" w:rsidP="00376544">
      <w:pPr>
        <w:spacing w:after="0" w:line="276" w:lineRule="auto"/>
        <w:jc w:val="both"/>
        <w:rPr>
          <w:rFonts w:ascii="Rubik" w:hAnsi="Rubik" w:cs="Rubik"/>
        </w:rPr>
      </w:pPr>
      <w:r w:rsidRPr="002F2574">
        <w:rPr>
          <w:rFonts w:ascii="Rubik" w:hAnsi="Rubik" w:cs="Rubik"/>
        </w:rPr>
        <w:t>Per tentare di porre fine a questo pregiudizio</w:t>
      </w:r>
    </w:p>
    <w:p w14:paraId="065DC3DC" w14:textId="07C08197" w:rsidR="002F2574" w:rsidRPr="002F2574" w:rsidRDefault="002F2574" w:rsidP="00376544">
      <w:pPr>
        <w:spacing w:after="0" w:line="276" w:lineRule="auto"/>
        <w:jc w:val="both"/>
        <w:rPr>
          <w:rFonts w:ascii="Rubik" w:hAnsi="Rubik" w:cs="Rubik"/>
        </w:rPr>
      </w:pPr>
      <w:r w:rsidRPr="002F2574">
        <w:rPr>
          <w:rFonts w:ascii="Rubik" w:hAnsi="Rubik" w:cs="Rubik"/>
        </w:rPr>
        <w:t>il libro di Marcone, analizzando il quadro normativo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e le disposizioni di legge scritte nel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corso degli anni in Europa e nel contesto italiano,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mette in luce i punti di forza del sistema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duale poiché «la società del futuro</w:t>
      </w:r>
    </w:p>
    <w:p w14:paraId="78E6867F" w14:textId="28A148E0" w:rsidR="002F2574" w:rsidRPr="002F2574" w:rsidRDefault="002F2574" w:rsidP="00376544">
      <w:pPr>
        <w:spacing w:after="0" w:line="276" w:lineRule="auto"/>
        <w:jc w:val="both"/>
        <w:rPr>
          <w:rFonts w:ascii="Rubik" w:hAnsi="Rubik" w:cs="Rubik"/>
        </w:rPr>
      </w:pPr>
      <w:r w:rsidRPr="002F2574">
        <w:rPr>
          <w:rFonts w:ascii="Rubik" w:hAnsi="Rubik" w:cs="Rubik"/>
        </w:rPr>
        <w:t>sarà una società conoscitiva […], dove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l’istruzione e la formazione diventeranno</w:t>
      </w:r>
    </w:p>
    <w:p w14:paraId="12C50A1F" w14:textId="6D81FFC7" w:rsidR="002F2574" w:rsidRPr="002F2574" w:rsidRDefault="002F2574" w:rsidP="00376544">
      <w:pPr>
        <w:spacing w:after="0" w:line="276" w:lineRule="auto"/>
        <w:jc w:val="both"/>
        <w:rPr>
          <w:rFonts w:ascii="Rubik" w:hAnsi="Rubik" w:cs="Rubik"/>
        </w:rPr>
      </w:pPr>
      <w:r w:rsidRPr="002F2574">
        <w:rPr>
          <w:rFonts w:ascii="Rubik" w:hAnsi="Rubik" w:cs="Rubik"/>
        </w:rPr>
        <w:t>ancora di più i principali vettori d’identificazione,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di appartenenza, di promozione sociale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e di sviluppo personale» (ivi, p. 49).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 xml:space="preserve">Marcone richiama il pensiero di </w:t>
      </w:r>
      <w:proofErr w:type="spellStart"/>
      <w:r w:rsidRPr="002F2574">
        <w:rPr>
          <w:rFonts w:ascii="Rubik" w:hAnsi="Rubik" w:cs="Rubik"/>
        </w:rPr>
        <w:t>Sennet</w:t>
      </w:r>
      <w:proofErr w:type="spellEnd"/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sull’intelligenza pratica e manuale che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«conduce un dialogo continuo tra pratiche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concrete e pensiero e si concretizza nell’acquisizione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di abitudini e di sostegno, le quali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creano un movimento ritmico tra soluzione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e individuazione di problemi» (ivi, p. 119). In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questo dialogo, emerge l’importanza di far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riaffiorare le qualità della figura dell’artigiano,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affinché nei giovani, attraverso la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 xml:space="preserve">mediazione della </w:t>
      </w:r>
      <w:proofErr w:type="spellStart"/>
      <w:r w:rsidRPr="002F2574">
        <w:rPr>
          <w:rFonts w:ascii="Rubik" w:hAnsi="Rubik" w:cs="Rubik"/>
        </w:rPr>
        <w:t>tutorship</w:t>
      </w:r>
      <w:proofErr w:type="spellEnd"/>
      <w:r w:rsidRPr="002F2574">
        <w:rPr>
          <w:rFonts w:ascii="Rubik" w:hAnsi="Rubik" w:cs="Rubik"/>
        </w:rPr>
        <w:t>, possa avvenire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un processo graduale di analisi degli oggetti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da apprendere. Il tutor può e deve creare le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 xml:space="preserve">condizioni di apprendimento utili allo </w:t>
      </w:r>
      <w:proofErr w:type="spellStart"/>
      <w:r w:rsidRPr="002F2574">
        <w:rPr>
          <w:rFonts w:ascii="Rubik" w:hAnsi="Rubik" w:cs="Rubik"/>
        </w:rPr>
        <w:t>scaffolding</w:t>
      </w:r>
      <w:proofErr w:type="spellEnd"/>
      <w:r w:rsidRPr="002F2574">
        <w:rPr>
          <w:rFonts w:ascii="Rubik" w:hAnsi="Rubik" w:cs="Rubik"/>
        </w:rPr>
        <w:t>,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che rendono possibili processi</w:t>
      </w:r>
    </w:p>
    <w:p w14:paraId="441C288B" w14:textId="77777777" w:rsidR="00C3667F" w:rsidRDefault="002F2574" w:rsidP="00376544">
      <w:pPr>
        <w:spacing w:after="0" w:line="276" w:lineRule="auto"/>
        <w:jc w:val="both"/>
        <w:rPr>
          <w:rFonts w:ascii="Rubik" w:hAnsi="Rubik" w:cs="Rubik"/>
        </w:rPr>
      </w:pPr>
      <w:r w:rsidRPr="002F2574">
        <w:rPr>
          <w:rFonts w:ascii="Rubik" w:hAnsi="Rubik" w:cs="Rubik"/>
        </w:rPr>
        <w:t xml:space="preserve">di </w:t>
      </w:r>
      <w:proofErr w:type="spellStart"/>
      <w:r w:rsidRPr="002F2574">
        <w:rPr>
          <w:rFonts w:ascii="Rubik" w:hAnsi="Rubik" w:cs="Rubik"/>
        </w:rPr>
        <w:t>problem</w:t>
      </w:r>
      <w:proofErr w:type="spellEnd"/>
      <w:r w:rsidRPr="002F2574">
        <w:rPr>
          <w:rFonts w:ascii="Rubik" w:hAnsi="Rubik" w:cs="Rubik"/>
        </w:rPr>
        <w:t xml:space="preserve"> solving e di </w:t>
      </w:r>
      <w:proofErr w:type="spellStart"/>
      <w:r w:rsidRPr="002F2574">
        <w:rPr>
          <w:rFonts w:ascii="Rubik" w:hAnsi="Rubik" w:cs="Rubik"/>
        </w:rPr>
        <w:t>problem</w:t>
      </w:r>
      <w:proofErr w:type="spellEnd"/>
      <w:r w:rsidRPr="002F2574">
        <w:rPr>
          <w:rFonts w:ascii="Rubik" w:hAnsi="Rubik" w:cs="Rubik"/>
        </w:rPr>
        <w:t xml:space="preserve"> setting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dell’agire pratico che richiede un adattamento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flessibile. Nella seconda parte del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volume Marcone, presentando la ricerca da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 xml:space="preserve">lui condotta, esplicita quanto scritto </w:t>
      </w:r>
      <w:r w:rsidRPr="002F2574">
        <w:rPr>
          <w:rFonts w:ascii="Rubik" w:hAnsi="Rubik" w:cs="Rubik"/>
        </w:rPr>
        <w:t>precedentemente.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La ricerca vuole mostrare concretamente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 xml:space="preserve">il concetto di </w:t>
      </w:r>
      <w:proofErr w:type="spellStart"/>
      <w:r w:rsidRPr="002F2574">
        <w:rPr>
          <w:rFonts w:ascii="Rubik" w:hAnsi="Rubik" w:cs="Rubik"/>
        </w:rPr>
        <w:t>formatività</w:t>
      </w:r>
      <w:proofErr w:type="spellEnd"/>
      <w:r w:rsidRPr="002F2574">
        <w:rPr>
          <w:rFonts w:ascii="Rubik" w:hAnsi="Rubik" w:cs="Rubik"/>
        </w:rPr>
        <w:t>, secondo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il quale «formare significa fare e trovare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il modo di fare […], ma un tal fare che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mentre fa inventa il modo di fare» (ivi, p.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128). La ricerca empirico-descrittiva utilizza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 xml:space="preserve">la tecnica dell’intervista e </w:t>
      </w:r>
      <w:proofErr w:type="gramStart"/>
      <w:r w:rsidRPr="002F2574">
        <w:rPr>
          <w:rFonts w:ascii="Rubik" w:hAnsi="Rubik" w:cs="Rubik"/>
        </w:rPr>
        <w:t>dei focus</w:t>
      </w:r>
      <w:proofErr w:type="gramEnd"/>
      <w:r w:rsidRPr="002F2574">
        <w:rPr>
          <w:rFonts w:ascii="Rubik" w:hAnsi="Rubik" w:cs="Rubik"/>
        </w:rPr>
        <w:t xml:space="preserve"> per acquisire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le informazioni del campione. Interessante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anche il capitolo nel quale emerge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il diverso punto di vista dei protagonisti dei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processi di alternanza scuola-lavoro analizzati: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il dirigente scolastico, lo studente, il referente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 xml:space="preserve">aziendale e la </w:t>
      </w:r>
      <w:proofErr w:type="spellStart"/>
      <w:r w:rsidRPr="002F2574">
        <w:rPr>
          <w:rFonts w:ascii="Rubik" w:hAnsi="Rubik" w:cs="Rubik"/>
        </w:rPr>
        <w:t>tutorship</w:t>
      </w:r>
      <w:proofErr w:type="spellEnd"/>
      <w:r w:rsidRPr="002F2574">
        <w:rPr>
          <w:rFonts w:ascii="Rubik" w:hAnsi="Rubik" w:cs="Rubik"/>
        </w:rPr>
        <w:t xml:space="preserve"> scolastica. È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solo dal coworking dei diversi attori che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emerge il valore generativo del lavoro: «è finita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l’epoca in cui prima ci si preparava a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svolgere un lavoro e poi, dopo la fase della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preparazione, si esercitava questo lavoro,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magari per l’intera vita. È fondamentale apprendere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lavorando e, reciprocamente lavorare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apprendendo» (ivi, p. 170). Grazie alla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sinergia tra teoria e prassi si possono generare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processi continui di trasformazione cognitiva,</w:t>
      </w:r>
      <w:r>
        <w:rPr>
          <w:rFonts w:ascii="Rubik" w:hAnsi="Rubik" w:cs="Rubik"/>
        </w:rPr>
        <w:t xml:space="preserve"> </w:t>
      </w:r>
      <w:proofErr w:type="spellStart"/>
      <w:r w:rsidRPr="002F2574">
        <w:rPr>
          <w:rFonts w:ascii="Rubik" w:hAnsi="Rubik" w:cs="Rubik"/>
        </w:rPr>
        <w:t>apprenditiva</w:t>
      </w:r>
      <w:proofErr w:type="spellEnd"/>
      <w:r w:rsidRPr="002F2574">
        <w:rPr>
          <w:rFonts w:ascii="Rubik" w:hAnsi="Rubik" w:cs="Rubik"/>
        </w:rPr>
        <w:t xml:space="preserve"> e </w:t>
      </w:r>
      <w:proofErr w:type="spellStart"/>
      <w:r w:rsidRPr="002F2574">
        <w:rPr>
          <w:rFonts w:ascii="Rubik" w:hAnsi="Rubik" w:cs="Rubik"/>
        </w:rPr>
        <w:t>bio</w:t>
      </w:r>
      <w:proofErr w:type="spellEnd"/>
      <w:r w:rsidRPr="002F2574">
        <w:rPr>
          <w:rFonts w:ascii="Rubik" w:hAnsi="Rubik" w:cs="Rubik"/>
        </w:rPr>
        <w:t>-psico-sociale in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una dimensione condivisa, dove tutti sono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protagonisti del processo. Secondo l’autore,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è necessario riscoprire la valenza dell’idea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 xml:space="preserve">di homo </w:t>
      </w:r>
      <w:proofErr w:type="spellStart"/>
      <w:r w:rsidRPr="002F2574">
        <w:rPr>
          <w:rFonts w:ascii="Rubik" w:hAnsi="Rubik" w:cs="Rubik"/>
        </w:rPr>
        <w:t>faber</w:t>
      </w:r>
      <w:proofErr w:type="spellEnd"/>
      <w:r w:rsidRPr="002F2574">
        <w:rPr>
          <w:rFonts w:ascii="Rubik" w:hAnsi="Rubik" w:cs="Rubik"/>
        </w:rPr>
        <w:t xml:space="preserve"> come cardine metodologico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 xml:space="preserve">di politiche della formazione capaci di </w:t>
      </w:r>
      <w:proofErr w:type="spellStart"/>
      <w:r w:rsidRPr="002F2574">
        <w:rPr>
          <w:rFonts w:ascii="Rubik" w:hAnsi="Rubik" w:cs="Rubik"/>
        </w:rPr>
        <w:t>cogenerare</w:t>
      </w:r>
      <w:proofErr w:type="spellEnd"/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occupabilità ma anche di valorizzare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il potenziale delle persone: «il file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rouge del volume ruota attorno all’idea che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le esperienze duali debbano essere interpretate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non come formazione alla tecnicalità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del lavoro ma come co-generazione del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valore per il soggetto e per il gruppo al quale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appartiene» (ivi, p. 204).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Grazie alla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sinergia tra teoria e prassi si possono generare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processi continui di trasformazione cognitiva,</w:t>
      </w:r>
      <w:r>
        <w:rPr>
          <w:rFonts w:ascii="Rubik" w:hAnsi="Rubik" w:cs="Rubik"/>
        </w:rPr>
        <w:t xml:space="preserve"> </w:t>
      </w:r>
      <w:proofErr w:type="spellStart"/>
      <w:r w:rsidRPr="002F2574">
        <w:rPr>
          <w:rFonts w:ascii="Rubik" w:hAnsi="Rubik" w:cs="Rubik"/>
        </w:rPr>
        <w:t>apprenditiva</w:t>
      </w:r>
      <w:proofErr w:type="spellEnd"/>
      <w:r w:rsidRPr="002F2574">
        <w:rPr>
          <w:rFonts w:ascii="Rubik" w:hAnsi="Rubik" w:cs="Rubik"/>
        </w:rPr>
        <w:t xml:space="preserve"> e </w:t>
      </w:r>
      <w:proofErr w:type="spellStart"/>
      <w:r w:rsidRPr="002F2574">
        <w:rPr>
          <w:rFonts w:ascii="Rubik" w:hAnsi="Rubik" w:cs="Rubik"/>
        </w:rPr>
        <w:t>bio</w:t>
      </w:r>
      <w:proofErr w:type="spellEnd"/>
      <w:r w:rsidRPr="002F2574">
        <w:rPr>
          <w:rFonts w:ascii="Rubik" w:hAnsi="Rubik" w:cs="Rubik"/>
        </w:rPr>
        <w:t>-psico-sociale in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 xml:space="preserve">una dimensione condivisa, </w:t>
      </w:r>
    </w:p>
    <w:p w14:paraId="6510EA61" w14:textId="764D8D6E" w:rsidR="00376544" w:rsidRDefault="002F2574" w:rsidP="00376544">
      <w:pPr>
        <w:spacing w:after="0" w:line="276" w:lineRule="auto"/>
        <w:jc w:val="both"/>
        <w:rPr>
          <w:rFonts w:ascii="Rubik" w:hAnsi="Rubik" w:cs="Rubik"/>
        </w:rPr>
      </w:pPr>
      <w:r w:rsidRPr="002F2574">
        <w:rPr>
          <w:rFonts w:ascii="Rubik" w:hAnsi="Rubik" w:cs="Rubik"/>
        </w:rPr>
        <w:lastRenderedPageBreak/>
        <w:t>dove tutti sono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protagonisti del processo. Secondo l’autore,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è necessario riscoprire la valenza dell’idea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 xml:space="preserve">di homo </w:t>
      </w:r>
      <w:proofErr w:type="spellStart"/>
      <w:r w:rsidRPr="002F2574">
        <w:rPr>
          <w:rFonts w:ascii="Rubik" w:hAnsi="Rubik" w:cs="Rubik"/>
        </w:rPr>
        <w:t>faber</w:t>
      </w:r>
      <w:proofErr w:type="spellEnd"/>
      <w:r w:rsidRPr="002F2574">
        <w:rPr>
          <w:rFonts w:ascii="Rubik" w:hAnsi="Rubik" w:cs="Rubik"/>
        </w:rPr>
        <w:t xml:space="preserve"> come cardine metodologico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 xml:space="preserve">di politiche della formazione capaci di </w:t>
      </w:r>
      <w:proofErr w:type="spellStart"/>
      <w:r w:rsidRPr="002F2574">
        <w:rPr>
          <w:rFonts w:ascii="Rubik" w:hAnsi="Rubik" w:cs="Rubik"/>
        </w:rPr>
        <w:t>cogenerare</w:t>
      </w:r>
      <w:proofErr w:type="spellEnd"/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occupabilità ma anche di valorizzare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il potenziale delle persone: «il file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rouge del volume ruota attorno all’idea che</w:t>
      </w:r>
      <w:r>
        <w:rPr>
          <w:rFonts w:ascii="Rubik" w:hAnsi="Rubik" w:cs="Rubik"/>
        </w:rPr>
        <w:t xml:space="preserve"> </w:t>
      </w:r>
      <w:r w:rsidRPr="002F2574">
        <w:rPr>
          <w:rFonts w:ascii="Rubik" w:hAnsi="Rubik" w:cs="Rubik"/>
        </w:rPr>
        <w:t>le esperienze duali debbano es</w:t>
      </w:r>
      <w:r w:rsidR="00376544">
        <w:rPr>
          <w:rFonts w:ascii="Rubik" w:hAnsi="Rubik" w:cs="Rubik"/>
        </w:rPr>
        <w:br/>
      </w:r>
    </w:p>
    <w:p w14:paraId="1BB418F4" w14:textId="11FE1E14" w:rsidR="002F2574" w:rsidRDefault="00376544" w:rsidP="00376544">
      <w:pPr>
        <w:spacing w:after="0" w:line="276" w:lineRule="auto"/>
        <w:jc w:val="both"/>
        <w:rPr>
          <w:rFonts w:ascii="Rubik" w:hAnsi="Rubik" w:cs="Rubik"/>
        </w:rPr>
      </w:pPr>
      <w:r>
        <w:rPr>
          <w:rFonts w:ascii="Rubik" w:hAnsi="Rubik" w:cs="Rubik"/>
        </w:rPr>
        <w:br w:type="column"/>
      </w:r>
      <w:r w:rsidR="002F2574" w:rsidRPr="002F2574">
        <w:rPr>
          <w:rFonts w:ascii="Rubik" w:hAnsi="Rubik" w:cs="Rubik"/>
        </w:rPr>
        <w:t>sere interpretate</w:t>
      </w:r>
      <w:r w:rsidR="002F2574">
        <w:rPr>
          <w:rFonts w:ascii="Rubik" w:hAnsi="Rubik" w:cs="Rubik"/>
        </w:rPr>
        <w:t xml:space="preserve"> </w:t>
      </w:r>
      <w:r w:rsidR="002F2574" w:rsidRPr="002F2574">
        <w:rPr>
          <w:rFonts w:ascii="Rubik" w:hAnsi="Rubik" w:cs="Rubik"/>
        </w:rPr>
        <w:t>non come formazione alla tecnicalità</w:t>
      </w:r>
      <w:r w:rsidR="002F2574">
        <w:rPr>
          <w:rFonts w:ascii="Rubik" w:hAnsi="Rubik" w:cs="Rubik"/>
        </w:rPr>
        <w:t xml:space="preserve"> </w:t>
      </w:r>
      <w:r w:rsidR="002F2574" w:rsidRPr="002F2574">
        <w:rPr>
          <w:rFonts w:ascii="Rubik" w:hAnsi="Rubik" w:cs="Rubik"/>
        </w:rPr>
        <w:t>del lavoro ma come co-generazione del</w:t>
      </w:r>
      <w:r w:rsidR="002F2574">
        <w:rPr>
          <w:rFonts w:ascii="Rubik" w:hAnsi="Rubik" w:cs="Rubik"/>
        </w:rPr>
        <w:t xml:space="preserve"> </w:t>
      </w:r>
      <w:r w:rsidR="002F2574" w:rsidRPr="002F2574">
        <w:rPr>
          <w:rFonts w:ascii="Rubik" w:hAnsi="Rubik" w:cs="Rubik"/>
        </w:rPr>
        <w:t>valore per il soggetto e per il gruppo al quale</w:t>
      </w:r>
      <w:r w:rsidR="002F2574">
        <w:rPr>
          <w:rFonts w:ascii="Rubik" w:hAnsi="Rubik" w:cs="Rubik"/>
        </w:rPr>
        <w:t xml:space="preserve"> </w:t>
      </w:r>
      <w:r w:rsidR="002F2574" w:rsidRPr="002F2574">
        <w:rPr>
          <w:rFonts w:ascii="Rubik" w:hAnsi="Rubik" w:cs="Rubik"/>
        </w:rPr>
        <w:t>appartiene» (ivi, p. 204).</w:t>
      </w:r>
    </w:p>
    <w:p w14:paraId="4C534A0F" w14:textId="77777777" w:rsidR="002F2574" w:rsidRDefault="002F2574" w:rsidP="00376544">
      <w:pPr>
        <w:spacing w:after="0" w:line="276" w:lineRule="auto"/>
        <w:jc w:val="both"/>
        <w:rPr>
          <w:rFonts w:ascii="Rubik" w:hAnsi="Rubik" w:cs="Rubik"/>
        </w:rPr>
      </w:pPr>
    </w:p>
    <w:p w14:paraId="4DDE1CBA" w14:textId="0CE71CA5" w:rsidR="002F2574" w:rsidRDefault="00376544" w:rsidP="00376544">
      <w:pPr>
        <w:spacing w:after="0" w:line="276" w:lineRule="auto"/>
        <w:jc w:val="right"/>
        <w:rPr>
          <w:rFonts w:ascii="Rubik" w:hAnsi="Rubik" w:cs="Rubik"/>
          <w:smallCaps/>
          <w:sz w:val="24"/>
        </w:rPr>
      </w:pPr>
      <w:r>
        <w:rPr>
          <w:rFonts w:ascii="Rubik" w:hAnsi="Rubik" w:cs="Rubik"/>
          <w:smallCaps/>
          <w:sz w:val="24"/>
        </w:rPr>
        <w:t>Lucia Rossi</w:t>
      </w:r>
    </w:p>
    <w:p w14:paraId="71711C66" w14:textId="7D82C2F5" w:rsidR="002F2574" w:rsidRPr="002F2574" w:rsidRDefault="00C124ED" w:rsidP="00376544">
      <w:pPr>
        <w:spacing w:after="0" w:line="276" w:lineRule="auto"/>
        <w:jc w:val="right"/>
        <w:rPr>
          <w:rFonts w:ascii="Rubik" w:hAnsi="Rubik" w:cs="Rubik"/>
          <w:i/>
          <w:iCs/>
          <w:sz w:val="24"/>
        </w:rPr>
      </w:pPr>
      <w:r>
        <w:rPr>
          <w:rFonts w:ascii="Rubik" w:hAnsi="Rubik" w:cs="Rubik"/>
          <w:i/>
          <w:iCs/>
          <w:sz w:val="24"/>
        </w:rPr>
        <w:t>University of</w:t>
      </w:r>
      <w:r w:rsidR="002F2574" w:rsidRPr="002F2574">
        <w:rPr>
          <w:rFonts w:ascii="Rubik" w:hAnsi="Rubik" w:cs="Rubik"/>
          <w:i/>
          <w:iCs/>
          <w:sz w:val="24"/>
        </w:rPr>
        <w:t xml:space="preserve"> Bergamo</w:t>
      </w:r>
    </w:p>
    <w:sectPr w:rsidR="002F2574" w:rsidRPr="002F2574" w:rsidSect="00225A19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09" w:right="1134" w:bottom="709" w:left="1134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F7DFE" w14:textId="77777777" w:rsidR="00225A19" w:rsidRDefault="00225A19" w:rsidP="002F2574">
      <w:pPr>
        <w:spacing w:after="0" w:line="240" w:lineRule="auto"/>
      </w:pPr>
      <w:r>
        <w:separator/>
      </w:r>
    </w:p>
  </w:endnote>
  <w:endnote w:type="continuationSeparator" w:id="0">
    <w:p w14:paraId="3010191D" w14:textId="77777777" w:rsidR="00225A19" w:rsidRDefault="00225A19" w:rsidP="002F2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panose1 w:val="020B0604020202020204"/>
    <w:charset w:val="B1"/>
    <w:family w:val="auto"/>
    <w:pitch w:val="variable"/>
    <w:sig w:usb0="00000A07" w:usb1="40000001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4DBC9" w14:textId="77777777" w:rsidR="002F2574" w:rsidRDefault="002F2574" w:rsidP="002F2574">
    <w:pPr>
      <w:pStyle w:val="ANPAGINA"/>
      <w:spacing w:before="0"/>
    </w:pPr>
  </w:p>
  <w:p w14:paraId="78B0BB8E" w14:textId="77777777" w:rsidR="002F2574" w:rsidRDefault="002F2574" w:rsidP="002F2574">
    <w:pPr>
      <w:pStyle w:val="ANPAGINA"/>
      <w:spacing w:before="0"/>
    </w:pPr>
    <w:r w:rsidRPr="006368B0">
      <w:fldChar w:fldCharType="begin"/>
    </w:r>
    <w:r w:rsidRPr="006368B0">
      <w:instrText xml:space="preserve"> PAGE   \* MERGEFORMAT </w:instrText>
    </w:r>
    <w:r w:rsidRPr="006368B0">
      <w:fldChar w:fldCharType="separate"/>
    </w:r>
    <w:r>
      <w:t>1</w:t>
    </w:r>
    <w:r w:rsidRPr="006368B0">
      <w:fldChar w:fldCharType="end"/>
    </w:r>
  </w:p>
  <w:p w14:paraId="2F183B6F" w14:textId="77777777" w:rsidR="002F2574" w:rsidRPr="006368B0" w:rsidRDefault="002F2574" w:rsidP="002F2574">
    <w:pPr>
      <w:pStyle w:val="ANPAGINA"/>
      <w:spacing w:before="0"/>
    </w:pPr>
  </w:p>
  <w:p w14:paraId="4FACED1C" w14:textId="77777777" w:rsidR="002F2574" w:rsidRDefault="002F2574" w:rsidP="002F2574">
    <w:pPr>
      <w:pStyle w:val="AISSN"/>
      <w:spacing w:before="0"/>
    </w:pPr>
    <w:proofErr w:type="gramStart"/>
    <w:r w:rsidRPr="006368B0">
      <w:t>ISSN:</w:t>
    </w:r>
    <w:proofErr w:type="gramEnd"/>
    <w:r w:rsidRPr="006368B0">
      <w:t xml:space="preserve"> 2039-4039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44FF" w14:textId="77777777" w:rsidR="00C3667F" w:rsidRDefault="00C3667F" w:rsidP="00C3667F">
    <w:pPr>
      <w:pStyle w:val="ANPAGINA"/>
      <w:spacing w:before="0"/>
    </w:pPr>
  </w:p>
  <w:p w14:paraId="6140AD2C" w14:textId="77777777" w:rsidR="00C3667F" w:rsidRDefault="00C3667F" w:rsidP="00C3667F">
    <w:pPr>
      <w:pStyle w:val="ANPAGINA"/>
      <w:spacing w:before="0"/>
    </w:pPr>
    <w:r w:rsidRPr="006368B0">
      <w:fldChar w:fldCharType="begin"/>
    </w:r>
    <w:r w:rsidRPr="006368B0">
      <w:instrText xml:space="preserve"> PAGE   \* MERGEFORMAT </w:instrText>
    </w:r>
    <w:r w:rsidRPr="006368B0">
      <w:fldChar w:fldCharType="separate"/>
    </w:r>
    <w:r>
      <w:t>2</w:t>
    </w:r>
    <w:r w:rsidRPr="006368B0">
      <w:fldChar w:fldCharType="end"/>
    </w:r>
  </w:p>
  <w:p w14:paraId="09405637" w14:textId="77777777" w:rsidR="00C3667F" w:rsidRPr="006368B0" w:rsidRDefault="00C3667F" w:rsidP="00C3667F">
    <w:pPr>
      <w:pStyle w:val="ANPAGINA"/>
      <w:spacing w:before="0"/>
    </w:pPr>
  </w:p>
  <w:p w14:paraId="04383EAC" w14:textId="77777777" w:rsidR="00C3667F" w:rsidRDefault="00C3667F" w:rsidP="00C3667F">
    <w:pPr>
      <w:pStyle w:val="AISSN"/>
      <w:spacing w:before="0"/>
    </w:pPr>
    <w:proofErr w:type="gramStart"/>
    <w:r w:rsidRPr="006368B0">
      <w:t>ISSN:</w:t>
    </w:r>
    <w:proofErr w:type="gramEnd"/>
    <w:r w:rsidRPr="006368B0">
      <w:t xml:space="preserve"> 2039-4039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FE106" w14:textId="77777777" w:rsidR="00225A19" w:rsidRDefault="00225A19" w:rsidP="002F2574">
      <w:pPr>
        <w:spacing w:after="0" w:line="240" w:lineRule="auto"/>
      </w:pPr>
      <w:r>
        <w:separator/>
      </w:r>
    </w:p>
  </w:footnote>
  <w:footnote w:type="continuationSeparator" w:id="0">
    <w:p w14:paraId="3ECF08F9" w14:textId="77777777" w:rsidR="00225A19" w:rsidRDefault="00225A19" w:rsidP="002F2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Y="1"/>
      <w:tblW w:w="4937" w:type="pct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3861"/>
      <w:gridCol w:w="2009"/>
      <w:gridCol w:w="3647"/>
    </w:tblGrid>
    <w:tr w:rsidR="002F2574" w:rsidRPr="001E74F2" w14:paraId="6907F7D5" w14:textId="77777777" w:rsidTr="00723DC5">
      <w:trPr>
        <w:trHeight w:val="993"/>
      </w:trPr>
      <w:tc>
        <w:tcPr>
          <w:tcW w:w="2028" w:type="pct"/>
        </w:tcPr>
        <w:p w14:paraId="598DCAD6" w14:textId="77777777" w:rsidR="002F2574" w:rsidRPr="001E74F2" w:rsidRDefault="002F2574" w:rsidP="002F2574">
          <w:pPr>
            <w:pStyle w:val="Intestazione"/>
            <w:rPr>
              <w:rFonts w:ascii="Rubik" w:hAnsi="Rubik" w:cs="Rubik"/>
              <w:color w:val="1F497D"/>
              <w:sz w:val="24"/>
            </w:rPr>
          </w:pPr>
          <w:r w:rsidRPr="00640B45">
            <w:rPr>
              <w:rFonts w:ascii="Rubik" w:hAnsi="Rubik" w:cs="Rubik"/>
              <w:noProof/>
              <w:color w:val="1F497D"/>
              <w:sz w:val="24"/>
              <w:lang w:eastAsia="it-IT"/>
            </w:rPr>
            <w:drawing>
              <wp:inline distT="0" distB="0" distL="0" distR="0" wp14:anchorId="76713D0F" wp14:editId="7140552B">
                <wp:extent cx="864870" cy="560070"/>
                <wp:effectExtent l="0" t="0" r="0" b="0"/>
                <wp:docPr id="1735837894" name="Immagine 1735837894" descr="Immagine che contiene Elementi grafici, Carattere, design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1231400" name="Immagine 1331231400" descr="Immagine che contiene Elementi grafici, Carattere, design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870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5" w:type="pct"/>
          <w:vMerge w:val="restart"/>
          <w:noWrap/>
        </w:tcPr>
        <w:p w14:paraId="2FAB55D3" w14:textId="77777777" w:rsidR="002F2574" w:rsidRPr="00C13EF3" w:rsidRDefault="002F2574" w:rsidP="002F2574">
          <w:pPr>
            <w:pStyle w:val="AINTESTAZIONE"/>
            <w:framePr w:hSpace="0" w:wrap="auto" w:vAnchor="margin" w:yAlign="inline"/>
          </w:pPr>
          <w:r>
            <w:br/>
          </w:r>
          <w:r>
            <w:br/>
          </w:r>
          <w:r>
            <w:br/>
            <w:t>A</w:t>
          </w:r>
          <w:r w:rsidRPr="00C13EF3">
            <w:t>nno XIII – n. 39</w:t>
          </w:r>
        </w:p>
      </w:tc>
      <w:tc>
        <w:tcPr>
          <w:tcW w:w="1916" w:type="pct"/>
        </w:tcPr>
        <w:p w14:paraId="5B085093" w14:textId="77777777" w:rsidR="002F2574" w:rsidRPr="001E74F2" w:rsidRDefault="002F2574" w:rsidP="002F2574">
          <w:pPr>
            <w:pStyle w:val="Intestazione"/>
            <w:rPr>
              <w:rFonts w:ascii="Rubik" w:eastAsia="MS Gothic" w:hAnsi="Rubik" w:cs="Rubik"/>
              <w:b/>
              <w:bCs/>
              <w:color w:val="1F497D"/>
              <w:sz w:val="24"/>
            </w:rPr>
          </w:pPr>
        </w:p>
      </w:tc>
    </w:tr>
    <w:tr w:rsidR="002F2574" w:rsidRPr="001E74F2" w14:paraId="6FED1CA8" w14:textId="77777777" w:rsidTr="00723DC5">
      <w:trPr>
        <w:trHeight w:val="150"/>
      </w:trPr>
      <w:tc>
        <w:tcPr>
          <w:tcW w:w="2028" w:type="pct"/>
        </w:tcPr>
        <w:p w14:paraId="71BB9DD0" w14:textId="77777777" w:rsidR="002F2574" w:rsidRPr="001E74F2" w:rsidRDefault="002F2574" w:rsidP="002F2574">
          <w:pPr>
            <w:pStyle w:val="Intestazione"/>
            <w:rPr>
              <w:rFonts w:ascii="Rubik" w:eastAsia="MS Gothic" w:hAnsi="Rubik" w:cs="Rubik"/>
              <w:b/>
              <w:bCs/>
              <w:color w:val="1F497D"/>
              <w:sz w:val="24"/>
            </w:rPr>
          </w:pPr>
        </w:p>
      </w:tc>
      <w:tc>
        <w:tcPr>
          <w:tcW w:w="0" w:type="auto"/>
          <w:vMerge/>
          <w:vAlign w:val="center"/>
        </w:tcPr>
        <w:p w14:paraId="45A222EF" w14:textId="77777777" w:rsidR="002F2574" w:rsidRPr="001E74F2" w:rsidRDefault="002F2574" w:rsidP="002F2574">
          <w:pPr>
            <w:rPr>
              <w:rFonts w:ascii="Rubik" w:hAnsi="Rubik" w:cs="Rubik"/>
              <w:color w:val="1F497D"/>
              <w:sz w:val="24"/>
            </w:rPr>
          </w:pPr>
        </w:p>
      </w:tc>
      <w:tc>
        <w:tcPr>
          <w:tcW w:w="1916" w:type="pct"/>
        </w:tcPr>
        <w:p w14:paraId="7822F3BA" w14:textId="77777777" w:rsidR="002F2574" w:rsidRPr="001E74F2" w:rsidRDefault="002F2574" w:rsidP="002F2574">
          <w:pPr>
            <w:pStyle w:val="Intestazione"/>
            <w:rPr>
              <w:rFonts w:ascii="Rubik" w:eastAsia="MS Gothic" w:hAnsi="Rubik" w:cs="Rubik"/>
              <w:b/>
              <w:bCs/>
              <w:color w:val="1F497D"/>
              <w:sz w:val="24"/>
            </w:rPr>
          </w:pPr>
        </w:p>
      </w:tc>
    </w:tr>
  </w:tbl>
  <w:p w14:paraId="7A6BC91A" w14:textId="77777777" w:rsidR="002F2574" w:rsidRDefault="002F2574" w:rsidP="002F257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Y="1"/>
      <w:tblW w:w="4937" w:type="pct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3861"/>
      <w:gridCol w:w="2009"/>
      <w:gridCol w:w="3647"/>
    </w:tblGrid>
    <w:tr w:rsidR="002F2574" w:rsidRPr="001E74F2" w14:paraId="07FD081A" w14:textId="77777777" w:rsidTr="00723DC5">
      <w:trPr>
        <w:trHeight w:val="993"/>
      </w:trPr>
      <w:tc>
        <w:tcPr>
          <w:tcW w:w="2028" w:type="pct"/>
        </w:tcPr>
        <w:p w14:paraId="61329832" w14:textId="77777777" w:rsidR="002F2574" w:rsidRPr="001E74F2" w:rsidRDefault="002F2574" w:rsidP="002F2574">
          <w:pPr>
            <w:pStyle w:val="Intestazione"/>
            <w:rPr>
              <w:rFonts w:ascii="Rubik" w:hAnsi="Rubik" w:cs="Rubik"/>
              <w:color w:val="1F497D"/>
              <w:sz w:val="24"/>
            </w:rPr>
          </w:pPr>
          <w:r w:rsidRPr="00640B45">
            <w:rPr>
              <w:rFonts w:ascii="Rubik" w:hAnsi="Rubik" w:cs="Rubik"/>
              <w:noProof/>
              <w:color w:val="1F497D"/>
              <w:sz w:val="24"/>
              <w:lang w:eastAsia="it-IT"/>
            </w:rPr>
            <w:drawing>
              <wp:inline distT="0" distB="0" distL="0" distR="0" wp14:anchorId="1E97AC10" wp14:editId="3BB0AB2B">
                <wp:extent cx="864870" cy="560070"/>
                <wp:effectExtent l="0" t="0" r="0" b="0"/>
                <wp:docPr id="1045448382" name="Immagine 1045448382" descr="Immagine che contiene Elementi grafici, Carattere, design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1231400" name="Immagine 1331231400" descr="Immagine che contiene Elementi grafici, Carattere, design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870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5" w:type="pct"/>
          <w:vMerge w:val="restart"/>
          <w:noWrap/>
        </w:tcPr>
        <w:p w14:paraId="6D0595EC" w14:textId="77777777" w:rsidR="002F2574" w:rsidRPr="00C13EF3" w:rsidRDefault="002F2574" w:rsidP="002F2574">
          <w:pPr>
            <w:pStyle w:val="AINTESTAZIONE"/>
            <w:framePr w:hSpace="0" w:wrap="auto" w:vAnchor="margin" w:yAlign="inline"/>
          </w:pPr>
          <w:r>
            <w:br/>
          </w:r>
          <w:r>
            <w:br/>
          </w:r>
          <w:r>
            <w:br/>
            <w:t>A</w:t>
          </w:r>
          <w:r w:rsidRPr="00C13EF3">
            <w:t>nno XIII – n. 39</w:t>
          </w:r>
        </w:p>
      </w:tc>
      <w:tc>
        <w:tcPr>
          <w:tcW w:w="1916" w:type="pct"/>
        </w:tcPr>
        <w:p w14:paraId="0A555DD2" w14:textId="77777777" w:rsidR="002F2574" w:rsidRPr="001E74F2" w:rsidRDefault="002F2574" w:rsidP="002F2574">
          <w:pPr>
            <w:pStyle w:val="Intestazione"/>
            <w:rPr>
              <w:rFonts w:ascii="Rubik" w:eastAsia="MS Gothic" w:hAnsi="Rubik" w:cs="Rubik"/>
              <w:b/>
              <w:bCs/>
              <w:color w:val="1F497D"/>
              <w:sz w:val="24"/>
            </w:rPr>
          </w:pPr>
        </w:p>
      </w:tc>
    </w:tr>
    <w:tr w:rsidR="002F2574" w:rsidRPr="001E74F2" w14:paraId="74EC0C10" w14:textId="77777777" w:rsidTr="00723DC5">
      <w:trPr>
        <w:trHeight w:val="150"/>
      </w:trPr>
      <w:tc>
        <w:tcPr>
          <w:tcW w:w="2028" w:type="pct"/>
        </w:tcPr>
        <w:p w14:paraId="112C7383" w14:textId="77777777" w:rsidR="002F2574" w:rsidRPr="001E74F2" w:rsidRDefault="002F2574" w:rsidP="002F2574">
          <w:pPr>
            <w:pStyle w:val="Intestazione"/>
            <w:rPr>
              <w:rFonts w:ascii="Rubik" w:eastAsia="MS Gothic" w:hAnsi="Rubik" w:cs="Rubik"/>
              <w:b/>
              <w:bCs/>
              <w:color w:val="1F497D"/>
              <w:sz w:val="24"/>
            </w:rPr>
          </w:pPr>
        </w:p>
      </w:tc>
      <w:tc>
        <w:tcPr>
          <w:tcW w:w="0" w:type="auto"/>
          <w:vMerge/>
          <w:vAlign w:val="center"/>
        </w:tcPr>
        <w:p w14:paraId="7158268E" w14:textId="77777777" w:rsidR="002F2574" w:rsidRPr="001E74F2" w:rsidRDefault="002F2574" w:rsidP="002F2574">
          <w:pPr>
            <w:rPr>
              <w:rFonts w:ascii="Rubik" w:hAnsi="Rubik" w:cs="Rubik"/>
              <w:color w:val="1F497D"/>
              <w:sz w:val="24"/>
            </w:rPr>
          </w:pPr>
        </w:p>
      </w:tc>
      <w:tc>
        <w:tcPr>
          <w:tcW w:w="1916" w:type="pct"/>
        </w:tcPr>
        <w:p w14:paraId="5DCBF7BE" w14:textId="77777777" w:rsidR="002F2574" w:rsidRPr="001E74F2" w:rsidRDefault="002F2574" w:rsidP="002F2574">
          <w:pPr>
            <w:pStyle w:val="Intestazione"/>
            <w:rPr>
              <w:rFonts w:ascii="Rubik" w:eastAsia="MS Gothic" w:hAnsi="Rubik" w:cs="Rubik"/>
              <w:b/>
              <w:bCs/>
              <w:color w:val="1F497D"/>
              <w:sz w:val="24"/>
            </w:rPr>
          </w:pPr>
        </w:p>
      </w:tc>
    </w:tr>
  </w:tbl>
  <w:p w14:paraId="368A39E7" w14:textId="77777777" w:rsidR="002F2574" w:rsidRDefault="002F2574">
    <w:pPr>
      <w:pStyle w:val="Intestazione"/>
    </w:pPr>
  </w:p>
  <w:p w14:paraId="2E382E0D" w14:textId="77777777" w:rsidR="002F2574" w:rsidRDefault="002F257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74"/>
    <w:rsid w:val="00225A19"/>
    <w:rsid w:val="002F2574"/>
    <w:rsid w:val="00376544"/>
    <w:rsid w:val="00BC209E"/>
    <w:rsid w:val="00BD12EB"/>
    <w:rsid w:val="00C124ED"/>
    <w:rsid w:val="00C137CC"/>
    <w:rsid w:val="00C279AF"/>
    <w:rsid w:val="00C3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56332"/>
  <w15:chartTrackingRefBased/>
  <w15:docId w15:val="{08C47A9F-B572-42CB-93BC-1B4AC616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L1 Header"/>
    <w:basedOn w:val="Normale"/>
    <w:link w:val="IntestazioneCarattere"/>
    <w:uiPriority w:val="99"/>
    <w:unhideWhenUsed/>
    <w:rsid w:val="002F25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L1 Header Carattere"/>
    <w:basedOn w:val="Carpredefinitoparagrafo"/>
    <w:link w:val="Intestazione"/>
    <w:uiPriority w:val="99"/>
    <w:rsid w:val="002F2574"/>
  </w:style>
  <w:style w:type="paragraph" w:styleId="Pidipagina">
    <w:name w:val="footer"/>
    <w:basedOn w:val="Normale"/>
    <w:link w:val="PidipaginaCarattere"/>
    <w:uiPriority w:val="99"/>
    <w:unhideWhenUsed/>
    <w:rsid w:val="002F25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2574"/>
  </w:style>
  <w:style w:type="paragraph" w:customStyle="1" w:styleId="AINTESTAZIONE">
    <w:name w:val="A_INTESTAZIONE"/>
    <w:basedOn w:val="Normale"/>
    <w:qFormat/>
    <w:rsid w:val="002F2574"/>
    <w:pPr>
      <w:framePr w:hSpace="187" w:wrap="around" w:vAnchor="text" w:hAnchor="text" w:y="1"/>
      <w:spacing w:after="0" w:line="240" w:lineRule="auto"/>
      <w:jc w:val="center"/>
    </w:pPr>
    <w:rPr>
      <w:rFonts w:ascii="Rubik" w:eastAsia="Calibri" w:hAnsi="Rubik" w:cs="Rubik"/>
      <w:b/>
      <w:color w:val="000090"/>
      <w:kern w:val="0"/>
      <w:lang w:val="fr-FR"/>
      <w14:ligatures w14:val="none"/>
    </w:rPr>
  </w:style>
  <w:style w:type="paragraph" w:customStyle="1" w:styleId="AISSN">
    <w:name w:val="A_ISSN"/>
    <w:basedOn w:val="Pidipagina"/>
    <w:qFormat/>
    <w:rsid w:val="002F2574"/>
    <w:pPr>
      <w:spacing w:before="240"/>
      <w:jc w:val="center"/>
    </w:pPr>
    <w:rPr>
      <w:rFonts w:ascii="Rubik" w:eastAsia="Calibri" w:hAnsi="Rubik" w:cs="Rubik"/>
      <w:color w:val="0D2690"/>
      <w:kern w:val="0"/>
      <w:sz w:val="16"/>
      <w:szCs w:val="16"/>
      <w:lang w:val="fr-FR"/>
      <w14:ligatures w14:val="none"/>
    </w:rPr>
  </w:style>
  <w:style w:type="paragraph" w:customStyle="1" w:styleId="ANPAGINA">
    <w:name w:val="A_N.PAGINA"/>
    <w:basedOn w:val="Pidipagina"/>
    <w:qFormat/>
    <w:rsid w:val="002F2574"/>
    <w:pPr>
      <w:spacing w:before="240"/>
      <w:jc w:val="center"/>
    </w:pPr>
    <w:rPr>
      <w:rFonts w:ascii="Rubik" w:eastAsia="Calibri" w:hAnsi="Rubik" w:cs="Rubik"/>
      <w:b/>
      <w:color w:val="0D2690"/>
      <w:kern w:val="0"/>
      <w:sz w:val="18"/>
      <w:szCs w:val="16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Guerini</dc:creator>
  <cp:keywords/>
  <dc:description/>
  <cp:lastModifiedBy>Paolo Bertuletti</cp:lastModifiedBy>
  <cp:revision>3</cp:revision>
  <dcterms:created xsi:type="dcterms:W3CDTF">2023-08-16T14:28:00Z</dcterms:created>
  <dcterms:modified xsi:type="dcterms:W3CDTF">2024-01-24T15:38:00Z</dcterms:modified>
</cp:coreProperties>
</file>