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BF34" w14:textId="77777777" w:rsidR="00941958" w:rsidRP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</w:rPr>
      </w:pPr>
      <w:r w:rsidRPr="00941958">
        <w:rPr>
          <w:rFonts w:ascii="Rubik" w:hAnsi="Rubik" w:cs="Rubik"/>
          <w:b/>
          <w:bCs/>
          <w:sz w:val="26"/>
          <w:szCs w:val="26"/>
        </w:rPr>
        <w:t xml:space="preserve">Studiare-lavorando e lavorare-studiando all’università. </w:t>
      </w:r>
    </w:p>
    <w:p w14:paraId="68CAF5C5" w14:textId="28FF045C" w:rsidR="00C279AF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</w:rPr>
      </w:pPr>
      <w:r w:rsidRPr="00941958">
        <w:rPr>
          <w:rFonts w:ascii="Rubik" w:hAnsi="Rubik" w:cs="Rubik"/>
          <w:b/>
          <w:bCs/>
          <w:sz w:val="26"/>
          <w:szCs w:val="26"/>
        </w:rPr>
        <w:t>Il caso dei work colleges americani</w:t>
      </w:r>
    </w:p>
    <w:p w14:paraId="70C1713D" w14:textId="77777777" w:rsid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</w:rPr>
      </w:pPr>
    </w:p>
    <w:p w14:paraId="38C382FE" w14:textId="77777777" w:rsidR="00941958" w:rsidRP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  <w:lang w:val="en-US"/>
        </w:rPr>
      </w:pPr>
      <w:r w:rsidRPr="00941958">
        <w:rPr>
          <w:rFonts w:ascii="Rubik" w:hAnsi="Rubik" w:cs="Rubik"/>
          <w:b/>
          <w:bCs/>
          <w:sz w:val="26"/>
          <w:szCs w:val="26"/>
          <w:lang w:val="en-US"/>
        </w:rPr>
        <w:t xml:space="preserve">To study and work at university. </w:t>
      </w:r>
    </w:p>
    <w:p w14:paraId="631FEAB4" w14:textId="3F852AC8" w:rsid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  <w:lang w:val="en-US"/>
        </w:rPr>
      </w:pPr>
      <w:r w:rsidRPr="00941958">
        <w:rPr>
          <w:rFonts w:ascii="Rubik" w:hAnsi="Rubik" w:cs="Rubik"/>
          <w:b/>
          <w:bCs/>
          <w:sz w:val="26"/>
          <w:szCs w:val="26"/>
          <w:lang w:val="en-US"/>
        </w:rPr>
        <w:t>The case of American work colleges</w:t>
      </w:r>
    </w:p>
    <w:p w14:paraId="5D6C7A5C" w14:textId="77777777" w:rsid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  <w:lang w:val="en-US"/>
        </w:rPr>
      </w:pPr>
    </w:p>
    <w:p w14:paraId="62F3C64E" w14:textId="77777777" w:rsidR="00941958" w:rsidRDefault="00941958" w:rsidP="00941958">
      <w:pPr>
        <w:spacing w:after="0" w:line="276" w:lineRule="auto"/>
        <w:jc w:val="center"/>
        <w:rPr>
          <w:rFonts w:ascii="Rubik" w:hAnsi="Rubik" w:cs="Rubik"/>
          <w:b/>
          <w:bCs/>
          <w:sz w:val="26"/>
          <w:szCs w:val="26"/>
          <w:lang w:val="en-US"/>
        </w:rPr>
      </w:pPr>
    </w:p>
    <w:p w14:paraId="7F35E3AD" w14:textId="34089493" w:rsidR="00941958" w:rsidRDefault="000A2C7E" w:rsidP="00941958">
      <w:pPr>
        <w:spacing w:after="0" w:line="276" w:lineRule="auto"/>
        <w:jc w:val="center"/>
        <w:rPr>
          <w:rFonts w:ascii="Rubik" w:hAnsi="Rubik" w:cs="Rubik"/>
          <w:smallCaps/>
          <w:sz w:val="26"/>
          <w:szCs w:val="26"/>
          <w:lang w:val="en-US"/>
        </w:rPr>
      </w:pPr>
      <w:r>
        <w:rPr>
          <w:rFonts w:ascii="Rubik" w:hAnsi="Rubik" w:cs="Rubik"/>
          <w:smallCaps/>
          <w:sz w:val="26"/>
          <w:szCs w:val="26"/>
          <w:lang w:val="en-US"/>
        </w:rPr>
        <w:t>Mario</w:t>
      </w:r>
      <w:r w:rsidR="00941958" w:rsidRPr="00941958">
        <w:rPr>
          <w:rFonts w:ascii="Rubik" w:hAnsi="Rubik" w:cs="Rubik"/>
          <w:smallCaps/>
          <w:sz w:val="26"/>
          <w:szCs w:val="26"/>
          <w:lang w:val="en-US"/>
        </w:rPr>
        <w:t xml:space="preserve"> </w:t>
      </w:r>
      <w:r>
        <w:rPr>
          <w:rFonts w:ascii="Rubik" w:hAnsi="Rubik" w:cs="Rubik"/>
          <w:smallCaps/>
          <w:sz w:val="26"/>
          <w:szCs w:val="26"/>
          <w:lang w:val="en-US"/>
        </w:rPr>
        <w:t>Bianchi</w:t>
      </w:r>
    </w:p>
    <w:p w14:paraId="6197F5B0" w14:textId="77777777" w:rsidR="00941958" w:rsidRDefault="00941958" w:rsidP="00941958">
      <w:pPr>
        <w:spacing w:after="0" w:line="276" w:lineRule="auto"/>
        <w:jc w:val="center"/>
        <w:rPr>
          <w:rFonts w:ascii="Rubik" w:hAnsi="Rubik" w:cs="Rubik"/>
          <w:smallCaps/>
          <w:sz w:val="26"/>
          <w:szCs w:val="26"/>
          <w:lang w:val="en-US"/>
        </w:rPr>
      </w:pPr>
    </w:p>
    <w:p w14:paraId="6B51F970" w14:textId="77777777" w:rsidR="00941958" w:rsidRDefault="00941958" w:rsidP="00941958">
      <w:pPr>
        <w:spacing w:after="0" w:line="276" w:lineRule="auto"/>
        <w:jc w:val="center"/>
        <w:rPr>
          <w:rFonts w:ascii="Rubik" w:hAnsi="Rubik" w:cs="Rubik"/>
          <w:smallCaps/>
          <w:sz w:val="26"/>
          <w:szCs w:val="26"/>
          <w:lang w:val="en-US"/>
        </w:rPr>
      </w:pPr>
    </w:p>
    <w:p w14:paraId="6E3E7874" w14:textId="4838A46B" w:rsidR="00941958" w:rsidRDefault="00941958" w:rsidP="00941958">
      <w:pPr>
        <w:spacing w:after="0" w:line="276" w:lineRule="auto"/>
        <w:jc w:val="both"/>
        <w:rPr>
          <w:rFonts w:ascii="Rubik" w:hAnsi="Rubik" w:cs="Rubik"/>
          <w:i/>
          <w:iCs/>
          <w:sz w:val="24"/>
          <w:szCs w:val="24"/>
          <w:lang w:val="en-US"/>
        </w:rPr>
      </w:pPr>
      <w:r w:rsidRPr="00941958">
        <w:rPr>
          <w:rFonts w:ascii="Rubik" w:hAnsi="Rubik" w:cs="Rubik"/>
          <w:i/>
          <w:iCs/>
          <w:sz w:val="24"/>
          <w:szCs w:val="24"/>
          <w:lang w:val="en-US"/>
        </w:rPr>
        <w:t xml:space="preserve">The article aims to present a peculiar experience inside the U.S. higher education system: a group of liberal arts colleges, called “Work colleges”, promoting the purposeful integration of Work-Learning-Service while helping to reduce the cost of education. This experience, although limited in numbers and inserted into socio-territorial contexts partly different from those of our country, identifying some strong pedagogical paradigms, that are always able to connect particular and general, </w:t>
      </w:r>
      <w:proofErr w:type="gramStart"/>
      <w:r w:rsidRPr="00941958">
        <w:rPr>
          <w:rFonts w:ascii="Rubik" w:hAnsi="Rubik" w:cs="Rubik"/>
          <w:i/>
          <w:iCs/>
          <w:sz w:val="24"/>
          <w:szCs w:val="24"/>
          <w:lang w:val="en-US"/>
        </w:rPr>
        <w:t>useful</w:t>
      </w:r>
      <w:proofErr w:type="gramEnd"/>
      <w:r w:rsidRPr="00941958">
        <w:rPr>
          <w:rFonts w:ascii="Rubik" w:hAnsi="Rubik" w:cs="Rubik"/>
          <w:i/>
          <w:iCs/>
          <w:sz w:val="24"/>
          <w:szCs w:val="24"/>
          <w:lang w:val="en-US"/>
        </w:rPr>
        <w:t xml:space="preserve"> and good, thought and action, person and community. </w:t>
      </w:r>
    </w:p>
    <w:p w14:paraId="4FE6CEEA" w14:textId="77777777" w:rsidR="00941958" w:rsidRDefault="00941958" w:rsidP="00941958">
      <w:pPr>
        <w:spacing w:after="0" w:line="276" w:lineRule="auto"/>
        <w:jc w:val="both"/>
        <w:rPr>
          <w:rFonts w:ascii="Rubik" w:hAnsi="Rubik" w:cs="Rubik"/>
          <w:sz w:val="24"/>
          <w:szCs w:val="24"/>
          <w:lang w:val="en-US"/>
        </w:rPr>
      </w:pPr>
    </w:p>
    <w:p w14:paraId="6CB900CD" w14:textId="48B1DB86" w:rsidR="00941958" w:rsidRDefault="00941958" w:rsidP="00941958">
      <w:pPr>
        <w:spacing w:after="0" w:line="276" w:lineRule="auto"/>
        <w:jc w:val="both"/>
        <w:rPr>
          <w:rFonts w:ascii="Rubik" w:hAnsi="Rubik" w:cs="Rubik"/>
          <w:smallCaps/>
          <w:sz w:val="24"/>
          <w:szCs w:val="24"/>
          <w:lang w:val="en-US"/>
        </w:rPr>
      </w:pPr>
      <w:r w:rsidRPr="00941958">
        <w:rPr>
          <w:rFonts w:ascii="Rubik" w:hAnsi="Rubik" w:cs="Rubik"/>
          <w:b/>
          <w:bCs/>
          <w:smallCaps/>
          <w:sz w:val="24"/>
          <w:szCs w:val="24"/>
          <w:lang w:val="en-US"/>
        </w:rPr>
        <w:t>Keywords:</w:t>
      </w:r>
      <w:r w:rsidRPr="00941958">
        <w:rPr>
          <w:rFonts w:ascii="Rubik" w:hAnsi="Rubik" w:cs="Rubik"/>
          <w:smallCaps/>
          <w:sz w:val="24"/>
          <w:szCs w:val="24"/>
          <w:lang w:val="en-US"/>
        </w:rPr>
        <w:t xml:space="preserve"> Higher Education; Work-Based Learning; Work Colleges; Comparative Education; </w:t>
      </w:r>
      <w:r w:rsidR="000A2C7E">
        <w:rPr>
          <w:rFonts w:ascii="Rubik" w:hAnsi="Rubik" w:cs="Rubik"/>
          <w:smallCaps/>
          <w:sz w:val="24"/>
          <w:szCs w:val="24"/>
          <w:lang w:val="en-US"/>
        </w:rPr>
        <w:t>USA</w:t>
      </w:r>
      <w:r w:rsidRPr="00941958">
        <w:rPr>
          <w:rFonts w:ascii="Rubik" w:hAnsi="Rubik" w:cs="Rubik"/>
          <w:smallCaps/>
          <w:sz w:val="24"/>
          <w:szCs w:val="24"/>
          <w:lang w:val="en-US"/>
        </w:rPr>
        <w:t>.</w:t>
      </w:r>
    </w:p>
    <w:p w14:paraId="44E5976F" w14:textId="77777777" w:rsidR="000A2C7E" w:rsidRDefault="000A2C7E" w:rsidP="00941958">
      <w:pPr>
        <w:spacing w:after="0" w:line="276" w:lineRule="auto"/>
        <w:jc w:val="both"/>
        <w:rPr>
          <w:rFonts w:ascii="Rubik" w:hAnsi="Rubik" w:cs="Rubik"/>
          <w:smallCaps/>
          <w:sz w:val="24"/>
          <w:szCs w:val="24"/>
          <w:lang w:val="en-US"/>
        </w:rPr>
      </w:pPr>
    </w:p>
    <w:p w14:paraId="3B2ACF64" w14:textId="77777777" w:rsidR="000A2C7E" w:rsidRDefault="000A2C7E" w:rsidP="00941958">
      <w:pPr>
        <w:spacing w:after="0" w:line="276" w:lineRule="auto"/>
        <w:jc w:val="both"/>
        <w:rPr>
          <w:rFonts w:ascii="Rubik" w:hAnsi="Rubik" w:cs="Rubik"/>
          <w:smallCaps/>
          <w:sz w:val="24"/>
          <w:szCs w:val="24"/>
          <w:lang w:val="en-US"/>
        </w:rPr>
      </w:pPr>
    </w:p>
    <w:p w14:paraId="440D965A" w14:textId="3EDF066C" w:rsidR="000A2C7E" w:rsidRPr="000A2C7E" w:rsidRDefault="000A2C7E" w:rsidP="000A2C7E">
      <w:pPr>
        <w:spacing w:after="0" w:line="276" w:lineRule="auto"/>
        <w:jc w:val="both"/>
        <w:rPr>
          <w:rFonts w:ascii="Rubik" w:hAnsi="Rubik" w:cs="Rubik"/>
          <w:i/>
          <w:iCs/>
          <w:sz w:val="24"/>
          <w:szCs w:val="24"/>
        </w:rPr>
      </w:pPr>
      <w:r w:rsidRPr="000A2C7E">
        <w:rPr>
          <w:rFonts w:ascii="Rubik" w:hAnsi="Rubik" w:cs="Rubik"/>
          <w:i/>
          <w:iCs/>
          <w:sz w:val="24"/>
          <w:szCs w:val="24"/>
        </w:rPr>
        <w:t>L’articolo si propone di presentare un’esperienza peculiare all’interno del sistema di istruzione superiore statunitense: un gruppo di college di arti liberali, chiamati “Work colleges”, che promuovono l’integrazione mirata di Work-Learning-Service contribuendo al tempo stesso a ridurre i costi dell’istruzione. Questa esperienza, pur limitata nei numeri e inserita in contesti socio-territoriali in parte diversi da quelli del nostro Paese, individua alcuni paradigmi pedagogici forti, che siano sempre in grado di connettere particolare e generale, utile e buono, pensiero e azione, persona e comunità</w:t>
      </w:r>
      <w:r w:rsidRPr="000A2C7E">
        <w:rPr>
          <w:rFonts w:ascii="Rubik" w:hAnsi="Rubik" w:cs="Rubik"/>
          <w:i/>
          <w:iCs/>
          <w:sz w:val="24"/>
          <w:szCs w:val="24"/>
        </w:rPr>
        <w:t>.</w:t>
      </w:r>
    </w:p>
    <w:p w14:paraId="60C7EC7C" w14:textId="77777777" w:rsidR="000A2C7E" w:rsidRPr="000A2C7E" w:rsidRDefault="000A2C7E" w:rsidP="000A2C7E">
      <w:pPr>
        <w:spacing w:after="0" w:line="276" w:lineRule="auto"/>
        <w:jc w:val="both"/>
        <w:rPr>
          <w:rFonts w:ascii="Rubik" w:hAnsi="Rubik" w:cs="Rubik"/>
          <w:sz w:val="24"/>
          <w:szCs w:val="24"/>
        </w:rPr>
      </w:pPr>
    </w:p>
    <w:p w14:paraId="00541834" w14:textId="4C780F05" w:rsidR="000A2C7E" w:rsidRPr="000A2C7E" w:rsidRDefault="000A2C7E" w:rsidP="000A2C7E">
      <w:pPr>
        <w:spacing w:after="0" w:line="276" w:lineRule="auto"/>
        <w:jc w:val="both"/>
        <w:rPr>
          <w:rFonts w:ascii="Rubik" w:hAnsi="Rubik" w:cs="Rubik"/>
          <w:smallCaps/>
          <w:sz w:val="24"/>
          <w:szCs w:val="24"/>
        </w:rPr>
      </w:pPr>
      <w:r>
        <w:rPr>
          <w:rFonts w:ascii="Rubik" w:hAnsi="Rubik" w:cs="Rubik"/>
          <w:b/>
          <w:bCs/>
          <w:smallCaps/>
          <w:sz w:val="24"/>
          <w:szCs w:val="24"/>
        </w:rPr>
        <w:t>Parole chiave</w:t>
      </w:r>
      <w:r w:rsidRPr="000A2C7E">
        <w:rPr>
          <w:rFonts w:ascii="Rubik" w:hAnsi="Rubik" w:cs="Rubik"/>
          <w:b/>
          <w:bCs/>
          <w:smallCaps/>
          <w:sz w:val="24"/>
          <w:szCs w:val="24"/>
        </w:rPr>
        <w:t>:</w:t>
      </w:r>
      <w:r w:rsidRPr="000A2C7E">
        <w:rPr>
          <w:rFonts w:ascii="Rubik" w:hAnsi="Rubik" w:cs="Rubik"/>
          <w:smallCaps/>
          <w:sz w:val="24"/>
          <w:szCs w:val="24"/>
        </w:rPr>
        <w:t xml:space="preserve"> </w:t>
      </w:r>
      <w:r>
        <w:rPr>
          <w:rFonts w:ascii="Rubik" w:hAnsi="Rubik" w:cs="Rubik"/>
          <w:smallCaps/>
          <w:sz w:val="24"/>
          <w:szCs w:val="24"/>
        </w:rPr>
        <w:t>I</w:t>
      </w:r>
      <w:r w:rsidRPr="000A2C7E">
        <w:rPr>
          <w:rFonts w:ascii="Rubik" w:hAnsi="Rubik" w:cs="Rubik"/>
          <w:smallCaps/>
          <w:sz w:val="24"/>
          <w:szCs w:val="24"/>
        </w:rPr>
        <w:t xml:space="preserve">struzione </w:t>
      </w:r>
      <w:r>
        <w:rPr>
          <w:rFonts w:ascii="Rubik" w:hAnsi="Rubik" w:cs="Rubik"/>
          <w:smallCaps/>
          <w:sz w:val="24"/>
          <w:szCs w:val="24"/>
        </w:rPr>
        <w:t>S</w:t>
      </w:r>
      <w:r w:rsidRPr="000A2C7E">
        <w:rPr>
          <w:rFonts w:ascii="Rubik" w:hAnsi="Rubik" w:cs="Rubik"/>
          <w:smallCaps/>
          <w:sz w:val="24"/>
          <w:szCs w:val="24"/>
        </w:rPr>
        <w:t xml:space="preserve">uperiore; </w:t>
      </w:r>
      <w:r>
        <w:rPr>
          <w:rFonts w:ascii="Rubik" w:hAnsi="Rubik" w:cs="Rubik"/>
          <w:smallCaps/>
          <w:sz w:val="24"/>
          <w:szCs w:val="24"/>
        </w:rPr>
        <w:t>A</w:t>
      </w:r>
      <w:r w:rsidRPr="000A2C7E">
        <w:rPr>
          <w:rFonts w:ascii="Rubik" w:hAnsi="Rubik" w:cs="Rubik"/>
          <w:smallCaps/>
          <w:sz w:val="24"/>
          <w:szCs w:val="24"/>
        </w:rPr>
        <w:t xml:space="preserve">pprendimento basato sul lavoro; </w:t>
      </w:r>
      <w:r>
        <w:rPr>
          <w:rFonts w:ascii="Rubik" w:hAnsi="Rubik" w:cs="Rubik"/>
          <w:smallCaps/>
          <w:sz w:val="24"/>
          <w:szCs w:val="24"/>
        </w:rPr>
        <w:t>Istruzione terziaria non accademica</w:t>
      </w:r>
      <w:r w:rsidRPr="000A2C7E">
        <w:rPr>
          <w:rFonts w:ascii="Rubik" w:hAnsi="Rubik" w:cs="Rubik"/>
          <w:smallCaps/>
          <w:sz w:val="24"/>
          <w:szCs w:val="24"/>
        </w:rPr>
        <w:t xml:space="preserve">; </w:t>
      </w:r>
      <w:r>
        <w:rPr>
          <w:rFonts w:ascii="Rubik" w:hAnsi="Rubik" w:cs="Rubik"/>
          <w:smallCaps/>
          <w:sz w:val="24"/>
          <w:szCs w:val="24"/>
        </w:rPr>
        <w:t>E</w:t>
      </w:r>
      <w:r w:rsidRPr="000A2C7E">
        <w:rPr>
          <w:rFonts w:ascii="Rubik" w:hAnsi="Rubik" w:cs="Rubik"/>
          <w:smallCaps/>
          <w:sz w:val="24"/>
          <w:szCs w:val="24"/>
        </w:rPr>
        <w:t xml:space="preserve">ducazione comparata; </w:t>
      </w:r>
      <w:r>
        <w:rPr>
          <w:rFonts w:ascii="Rubik" w:hAnsi="Rubik" w:cs="Rubik"/>
          <w:smallCaps/>
          <w:sz w:val="24"/>
          <w:szCs w:val="24"/>
        </w:rPr>
        <w:t>S</w:t>
      </w:r>
      <w:r w:rsidRPr="000A2C7E">
        <w:rPr>
          <w:rFonts w:ascii="Rubik" w:hAnsi="Rubik" w:cs="Rubik"/>
          <w:smallCaps/>
          <w:sz w:val="24"/>
          <w:szCs w:val="24"/>
        </w:rPr>
        <w:t xml:space="preserve">tati </w:t>
      </w:r>
      <w:r>
        <w:rPr>
          <w:rFonts w:ascii="Rubik" w:hAnsi="Rubik" w:cs="Rubik"/>
          <w:smallCaps/>
          <w:sz w:val="24"/>
          <w:szCs w:val="24"/>
        </w:rPr>
        <w:t>U</w:t>
      </w:r>
      <w:r w:rsidRPr="000A2C7E">
        <w:rPr>
          <w:rFonts w:ascii="Rubik" w:hAnsi="Rubik" w:cs="Rubik"/>
          <w:smallCaps/>
          <w:sz w:val="24"/>
          <w:szCs w:val="24"/>
        </w:rPr>
        <w:t>niti d'</w:t>
      </w:r>
      <w:r>
        <w:rPr>
          <w:rFonts w:ascii="Rubik" w:hAnsi="Rubik" w:cs="Rubik"/>
          <w:smallCaps/>
          <w:sz w:val="24"/>
          <w:szCs w:val="24"/>
        </w:rPr>
        <w:t>A</w:t>
      </w:r>
      <w:r w:rsidRPr="000A2C7E">
        <w:rPr>
          <w:rFonts w:ascii="Rubik" w:hAnsi="Rubik" w:cs="Rubik"/>
          <w:smallCaps/>
          <w:sz w:val="24"/>
          <w:szCs w:val="24"/>
        </w:rPr>
        <w:t>merica</w:t>
      </w:r>
      <w:r>
        <w:rPr>
          <w:rFonts w:ascii="Rubik" w:hAnsi="Rubik" w:cs="Rubik"/>
          <w:smallCaps/>
          <w:sz w:val="24"/>
          <w:szCs w:val="24"/>
        </w:rPr>
        <w:t>.</w:t>
      </w:r>
    </w:p>
    <w:p w14:paraId="182F739B" w14:textId="77777777" w:rsidR="000A2C7E" w:rsidRPr="000A2C7E" w:rsidRDefault="000A2C7E">
      <w:pPr>
        <w:rPr>
          <w:rFonts w:ascii="Rubik" w:hAnsi="Rubik" w:cs="Rubik"/>
          <w:b/>
          <w:sz w:val="26"/>
          <w:szCs w:val="24"/>
        </w:rPr>
      </w:pPr>
      <w:r w:rsidRPr="000A2C7E">
        <w:rPr>
          <w:rFonts w:ascii="Rubik" w:hAnsi="Rubik" w:cs="Rubik"/>
          <w:b/>
          <w:sz w:val="26"/>
          <w:szCs w:val="24"/>
        </w:rPr>
        <w:br w:type="page"/>
      </w:r>
    </w:p>
    <w:p w14:paraId="45B377ED" w14:textId="74631527" w:rsidR="00941958" w:rsidRPr="00A9124A" w:rsidRDefault="00941958" w:rsidP="00941958">
      <w:pPr>
        <w:spacing w:after="0" w:line="276" w:lineRule="auto"/>
        <w:jc w:val="both"/>
        <w:rPr>
          <w:rFonts w:ascii="Rubik" w:hAnsi="Rubik" w:cs="Rubik"/>
          <w:b/>
          <w:sz w:val="26"/>
          <w:szCs w:val="24"/>
        </w:rPr>
      </w:pPr>
      <w:r w:rsidRPr="00A9124A">
        <w:rPr>
          <w:rFonts w:ascii="Rubik" w:hAnsi="Rubik" w:cs="Rubik"/>
          <w:b/>
          <w:sz w:val="26"/>
          <w:szCs w:val="24"/>
        </w:rPr>
        <w:lastRenderedPageBreak/>
        <w:t>Titolo di primo livello</w:t>
      </w:r>
    </w:p>
    <w:p w14:paraId="58664CC7" w14:textId="77777777" w:rsidR="00941958" w:rsidRPr="000A2C7E" w:rsidRDefault="00941958" w:rsidP="00941958">
      <w:pPr>
        <w:spacing w:after="0" w:line="276" w:lineRule="auto"/>
        <w:jc w:val="both"/>
        <w:rPr>
          <w:rFonts w:ascii="Rubik" w:hAnsi="Rubik" w:cs="Rubik"/>
          <w:b/>
          <w:sz w:val="26"/>
          <w:szCs w:val="24"/>
        </w:rPr>
      </w:pPr>
    </w:p>
    <w:p w14:paraId="710C7795" w14:textId="5705CC90" w:rsid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  <w:r w:rsidRPr="00941958">
        <w:rPr>
          <w:rFonts w:ascii="Rubik" w:hAnsi="Rubik" w:cs="Rubik"/>
          <w:bCs/>
          <w:sz w:val="26"/>
          <w:szCs w:val="24"/>
        </w:rPr>
        <w:t xml:space="preserve">Nel suo saggio di apertura alla recente pubblicazione di scritti, finora rimasti inediti in italiano, dell’opera di </w:t>
      </w:r>
      <w:proofErr w:type="spellStart"/>
      <w:r w:rsidRPr="00941958">
        <w:rPr>
          <w:rFonts w:ascii="Rubik" w:hAnsi="Rubik" w:cs="Rubik"/>
          <w:bCs/>
          <w:sz w:val="26"/>
          <w:szCs w:val="24"/>
        </w:rPr>
        <w:t>Janusz</w:t>
      </w:r>
      <w:proofErr w:type="spellEnd"/>
      <w:r w:rsidRPr="00941958">
        <w:rPr>
          <w:rFonts w:ascii="Rubik" w:hAnsi="Rubik" w:cs="Rubik"/>
          <w:bCs/>
          <w:sz w:val="26"/>
          <w:szCs w:val="24"/>
        </w:rPr>
        <w:t xml:space="preserve"> </w:t>
      </w:r>
      <w:proofErr w:type="spellStart"/>
      <w:r w:rsidRPr="00941958">
        <w:rPr>
          <w:rFonts w:ascii="Rubik" w:hAnsi="Rubik" w:cs="Rubik"/>
          <w:bCs/>
          <w:sz w:val="26"/>
          <w:szCs w:val="24"/>
        </w:rPr>
        <w:t>Korczak</w:t>
      </w:r>
      <w:proofErr w:type="spellEnd"/>
      <w:r w:rsidRPr="00941958">
        <w:rPr>
          <w:rFonts w:ascii="Rubik" w:hAnsi="Rubik" w:cs="Rubik"/>
          <w:bCs/>
          <w:sz w:val="26"/>
          <w:szCs w:val="24"/>
        </w:rPr>
        <w:t>, Andrea Potestio afferma come essi si propongano di «narrare il mistero che il fanciullo porta con sé»</w:t>
      </w:r>
      <w:r>
        <w:rPr>
          <w:rStyle w:val="Rimandonotaapidipagina"/>
          <w:rFonts w:ascii="Rubik" w:hAnsi="Rubik" w:cs="Rubik"/>
          <w:bCs/>
          <w:sz w:val="26"/>
          <w:szCs w:val="24"/>
        </w:rPr>
        <w:footnoteReference w:id="1"/>
      </w:r>
      <w:r w:rsidRPr="00941958">
        <w:rPr>
          <w:rFonts w:ascii="Rubik" w:hAnsi="Rubik" w:cs="Rubik"/>
          <w:bCs/>
          <w:sz w:val="26"/>
          <w:szCs w:val="24"/>
        </w:rPr>
        <w:t xml:space="preserve"> . Non il mistero dell’infanzia, ma quello di cui ogni bambino è protagonista, nel suo essere persona, colta e definita nelle proprie specificità e prerogative, in un inno all’unicità e, soprattutto, al racconto di quella stessa unicità.</w:t>
      </w:r>
    </w:p>
    <w:p w14:paraId="53F3CBED" w14:textId="77777777" w:rsidR="00467073" w:rsidRPr="00467073" w:rsidRDefault="00467073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</w:p>
    <w:p w14:paraId="53E4ED56" w14:textId="0FAF5245" w:rsid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i/>
          <w:iCs/>
          <w:sz w:val="26"/>
          <w:szCs w:val="24"/>
        </w:rPr>
      </w:pPr>
      <w:r w:rsidRPr="00941958">
        <w:rPr>
          <w:rFonts w:ascii="Rubik" w:hAnsi="Rubik" w:cs="Rubik"/>
          <w:bCs/>
          <w:i/>
          <w:iCs/>
          <w:sz w:val="26"/>
          <w:szCs w:val="24"/>
        </w:rPr>
        <w:t>Titolo di secondo livello</w:t>
      </w:r>
    </w:p>
    <w:p w14:paraId="70C26BE7" w14:textId="77777777" w:rsidR="00941958" w:rsidRPr="00467073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</w:p>
    <w:p w14:paraId="6FF3288F" w14:textId="08929D23" w:rsid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  <w:r w:rsidRPr="00941958">
        <w:rPr>
          <w:rFonts w:ascii="Rubik" w:hAnsi="Rubik" w:cs="Rubik"/>
          <w:bCs/>
          <w:sz w:val="26"/>
          <w:szCs w:val="24"/>
        </w:rPr>
        <w:t>Non il mistero dell’infanzia, ma quello di cui ogni bambino è protagonista, nel suo essere</w:t>
      </w:r>
      <w:r>
        <w:rPr>
          <w:rFonts w:ascii="Rubik" w:hAnsi="Rubik" w:cs="Rubik"/>
          <w:bCs/>
          <w:sz w:val="26"/>
          <w:szCs w:val="24"/>
        </w:rPr>
        <w:t xml:space="preserve"> </w:t>
      </w:r>
      <w:r w:rsidRPr="00941958">
        <w:rPr>
          <w:rFonts w:ascii="Rubik" w:hAnsi="Rubik" w:cs="Rubik"/>
          <w:bCs/>
          <w:sz w:val="26"/>
          <w:szCs w:val="24"/>
        </w:rPr>
        <w:t>persona, colta e definita nelle proprie specificità e prerogative.</w:t>
      </w:r>
    </w:p>
    <w:p w14:paraId="36773961" w14:textId="77777777" w:rsid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</w:p>
    <w:p w14:paraId="3675096E" w14:textId="42F78C7D" w:rsidR="00941958" w:rsidRP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  <w:r w:rsidRPr="00941958">
        <w:rPr>
          <w:rFonts w:ascii="Rubik" w:hAnsi="Rubik" w:cs="Rubik"/>
          <w:bCs/>
          <w:sz w:val="26"/>
          <w:szCs w:val="24"/>
        </w:rPr>
        <w:t>Titolo di terzo livello</w:t>
      </w:r>
    </w:p>
    <w:p w14:paraId="52EA1A02" w14:textId="3919E27D" w:rsidR="00941958" w:rsidRDefault="00941958" w:rsidP="00941958">
      <w:pPr>
        <w:spacing w:after="0" w:line="276" w:lineRule="auto"/>
        <w:jc w:val="both"/>
        <w:rPr>
          <w:rFonts w:ascii="Rubik" w:hAnsi="Rubik" w:cs="Rubik"/>
          <w:bCs/>
          <w:sz w:val="26"/>
          <w:szCs w:val="24"/>
        </w:rPr>
      </w:pPr>
      <w:r w:rsidRPr="00941958">
        <w:rPr>
          <w:rFonts w:ascii="Rubik" w:hAnsi="Rubik" w:cs="Rubik"/>
          <w:bCs/>
          <w:sz w:val="26"/>
          <w:szCs w:val="24"/>
        </w:rPr>
        <w:t>Non il mistero dell’infanzia, ma quello di cui ogni bambino è protagonista, nel suo essere</w:t>
      </w:r>
      <w:r>
        <w:rPr>
          <w:rFonts w:ascii="Rubik" w:hAnsi="Rubik" w:cs="Rubik"/>
          <w:bCs/>
          <w:sz w:val="26"/>
          <w:szCs w:val="24"/>
        </w:rPr>
        <w:t xml:space="preserve"> </w:t>
      </w:r>
      <w:r w:rsidRPr="00941958">
        <w:rPr>
          <w:rFonts w:ascii="Rubik" w:hAnsi="Rubik" w:cs="Rubik"/>
          <w:bCs/>
          <w:sz w:val="26"/>
          <w:szCs w:val="24"/>
        </w:rPr>
        <w:t>persona, colta e definita nelle proprie specificità e prerogative.</w:t>
      </w:r>
    </w:p>
    <w:p w14:paraId="70F06FB6" w14:textId="77777777" w:rsidR="00941958" w:rsidRPr="00467073" w:rsidRDefault="00941958" w:rsidP="00941958">
      <w:pPr>
        <w:spacing w:after="0" w:line="276" w:lineRule="auto"/>
        <w:jc w:val="both"/>
        <w:rPr>
          <w:rFonts w:ascii="Rubik" w:hAnsi="Rubik" w:cs="Rubik"/>
          <w:bCs/>
          <w:szCs w:val="20"/>
        </w:rPr>
      </w:pPr>
    </w:p>
    <w:p w14:paraId="71E17BA8" w14:textId="5A01AD02" w:rsidR="00941958" w:rsidRDefault="00941958" w:rsidP="00941958">
      <w:pPr>
        <w:spacing w:after="0" w:line="276" w:lineRule="auto"/>
        <w:ind w:left="284" w:right="284"/>
        <w:jc w:val="both"/>
        <w:rPr>
          <w:rFonts w:ascii="Rubik" w:hAnsi="Rubik" w:cs="Rubik"/>
          <w:bCs/>
          <w:szCs w:val="20"/>
        </w:rPr>
      </w:pPr>
      <w:r w:rsidRPr="00941958">
        <w:rPr>
          <w:rFonts w:ascii="Rubik" w:hAnsi="Rubik" w:cs="Rubik"/>
          <w:bCs/>
          <w:szCs w:val="20"/>
        </w:rPr>
        <w:t>Da piccolo – racconta nel Diario del ghetto, opera scritta nel 1942 durante la reclusione nel ghetto di Varsavia e pubblicata postuma solo sedici anni dopo – il babbo mi dava del tonto e del citrullo, mentre nei momenti di buriana diventavo un idiota e un asino</w:t>
      </w:r>
      <w:r>
        <w:rPr>
          <w:rStyle w:val="Rimandonotaapidipagina"/>
          <w:rFonts w:ascii="Rubik" w:hAnsi="Rubik" w:cs="Rubik"/>
          <w:bCs/>
          <w:szCs w:val="20"/>
        </w:rPr>
        <w:footnoteReference w:id="2"/>
      </w:r>
      <w:r w:rsidRPr="00941958">
        <w:rPr>
          <w:rFonts w:ascii="Rubik" w:hAnsi="Rubik" w:cs="Rubik"/>
          <w:bCs/>
          <w:szCs w:val="20"/>
        </w:rPr>
        <w:t>.</w:t>
      </w:r>
    </w:p>
    <w:p w14:paraId="46C6E5C9" w14:textId="77777777" w:rsidR="00467073" w:rsidRDefault="00467073" w:rsidP="00467073">
      <w:pPr>
        <w:spacing w:after="0" w:line="276" w:lineRule="auto"/>
        <w:ind w:right="284"/>
        <w:jc w:val="both"/>
        <w:rPr>
          <w:rFonts w:ascii="Rubik" w:hAnsi="Rubik" w:cs="Rubik"/>
          <w:bCs/>
          <w:szCs w:val="20"/>
        </w:rPr>
      </w:pPr>
    </w:p>
    <w:p w14:paraId="207FB5E7" w14:textId="77777777" w:rsidR="00467073" w:rsidRPr="00467073" w:rsidRDefault="00467073" w:rsidP="00467073">
      <w:pPr>
        <w:spacing w:after="0" w:line="276" w:lineRule="auto"/>
        <w:jc w:val="both"/>
        <w:rPr>
          <w:rFonts w:ascii="Rubik" w:hAnsi="Rubik" w:cs="Rubik"/>
          <w:bCs/>
          <w:sz w:val="26"/>
          <w:szCs w:val="26"/>
        </w:rPr>
      </w:pPr>
      <w:r w:rsidRPr="00467073">
        <w:rPr>
          <w:rFonts w:ascii="Rubik" w:hAnsi="Rubik" w:cs="Rubik"/>
          <w:bCs/>
          <w:sz w:val="26"/>
          <w:szCs w:val="26"/>
        </w:rPr>
        <w:t>Non il mistero dell’infanzia, ma quello di cui ogni bambino è protagonista, nel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suo essere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persona, colta e definita nelle proprie.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Non il mistero dell’infanzia, ma quello di cui ogni bambino è protagonista, nel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suo essere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persona, colta e definita nelle proprie.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Non il mistero dell’infanzia, ma quello di cui ogni bambino è protagonista, nel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suo essere</w:t>
      </w:r>
      <w:r>
        <w:rPr>
          <w:rFonts w:ascii="Rubik" w:hAnsi="Rubik" w:cs="Rubik"/>
          <w:bCs/>
          <w:sz w:val="26"/>
          <w:szCs w:val="26"/>
        </w:rPr>
        <w:t xml:space="preserve"> </w:t>
      </w:r>
      <w:r w:rsidRPr="00467073">
        <w:rPr>
          <w:rFonts w:ascii="Rubik" w:hAnsi="Rubik" w:cs="Rubik"/>
          <w:bCs/>
          <w:sz w:val="26"/>
          <w:szCs w:val="26"/>
        </w:rPr>
        <w:t>persona, colta e definita nelle proprie.</w:t>
      </w:r>
    </w:p>
    <w:p w14:paraId="3EF64F16" w14:textId="31DC6D25" w:rsidR="00467073" w:rsidRDefault="00467073" w:rsidP="00467073">
      <w:pPr>
        <w:tabs>
          <w:tab w:val="left" w:pos="6517"/>
        </w:tabs>
        <w:spacing w:after="0" w:line="276" w:lineRule="auto"/>
        <w:jc w:val="right"/>
        <w:rPr>
          <w:rFonts w:ascii="Rubik" w:hAnsi="Rubik" w:cs="Rubik"/>
          <w:bCs/>
          <w:sz w:val="26"/>
          <w:szCs w:val="26"/>
        </w:rPr>
      </w:pPr>
    </w:p>
    <w:p w14:paraId="1A3D161F" w14:textId="77777777" w:rsidR="00467073" w:rsidRPr="00467073" w:rsidRDefault="00467073" w:rsidP="00467073">
      <w:pPr>
        <w:spacing w:after="0" w:line="276" w:lineRule="auto"/>
        <w:jc w:val="right"/>
        <w:rPr>
          <w:rFonts w:ascii="Rubik" w:hAnsi="Rubik" w:cs="Rubik"/>
          <w:bCs/>
          <w:sz w:val="26"/>
          <w:szCs w:val="26"/>
        </w:rPr>
      </w:pPr>
    </w:p>
    <w:p w14:paraId="1FE00292" w14:textId="5999360E" w:rsidR="00467073" w:rsidRDefault="000A2C7E" w:rsidP="00467073">
      <w:pPr>
        <w:spacing w:after="0" w:line="276" w:lineRule="auto"/>
        <w:jc w:val="right"/>
        <w:rPr>
          <w:rFonts w:ascii="Rubik" w:hAnsi="Rubik" w:cs="Rubik"/>
          <w:bCs/>
          <w:smallCaps/>
          <w:sz w:val="26"/>
          <w:szCs w:val="26"/>
        </w:rPr>
      </w:pPr>
      <w:r>
        <w:rPr>
          <w:rFonts w:ascii="Rubik" w:hAnsi="Rubik" w:cs="Rubik"/>
          <w:bCs/>
          <w:smallCaps/>
          <w:sz w:val="26"/>
          <w:szCs w:val="26"/>
        </w:rPr>
        <w:t>Mario</w:t>
      </w:r>
      <w:r w:rsidR="00467073" w:rsidRPr="00467073">
        <w:rPr>
          <w:rFonts w:ascii="Rubik" w:hAnsi="Rubik" w:cs="Rubik"/>
          <w:bCs/>
          <w:smallCaps/>
          <w:sz w:val="26"/>
          <w:szCs w:val="26"/>
        </w:rPr>
        <w:t xml:space="preserve"> </w:t>
      </w:r>
      <w:r>
        <w:rPr>
          <w:rFonts w:ascii="Rubik" w:hAnsi="Rubik" w:cs="Rubik"/>
          <w:bCs/>
          <w:smallCaps/>
          <w:sz w:val="26"/>
          <w:szCs w:val="26"/>
        </w:rPr>
        <w:t>Bianch</w:t>
      </w:r>
      <w:r w:rsidR="00467073" w:rsidRPr="00467073">
        <w:rPr>
          <w:rFonts w:ascii="Rubik" w:hAnsi="Rubik" w:cs="Rubik"/>
          <w:bCs/>
          <w:smallCaps/>
          <w:sz w:val="26"/>
          <w:szCs w:val="26"/>
        </w:rPr>
        <w:t>i</w:t>
      </w:r>
    </w:p>
    <w:p w14:paraId="486D08B9" w14:textId="7D15EE4E" w:rsidR="00467073" w:rsidRDefault="00467073" w:rsidP="00467073">
      <w:pPr>
        <w:spacing w:after="0" w:line="276" w:lineRule="auto"/>
        <w:jc w:val="right"/>
        <w:rPr>
          <w:rFonts w:ascii="Rubik" w:hAnsi="Rubik" w:cs="Rubik"/>
          <w:bCs/>
          <w:i/>
          <w:sz w:val="26"/>
          <w:szCs w:val="26"/>
        </w:rPr>
      </w:pPr>
      <w:r w:rsidRPr="00467073">
        <w:rPr>
          <w:rFonts w:ascii="Rubik" w:hAnsi="Rubik" w:cs="Rubik"/>
          <w:bCs/>
          <w:i/>
          <w:sz w:val="26"/>
          <w:szCs w:val="26"/>
        </w:rPr>
        <w:t>University of Bergamo</w:t>
      </w:r>
    </w:p>
    <w:sectPr w:rsidR="00467073" w:rsidSect="004C1B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4874" w14:textId="77777777" w:rsidR="004C1B3A" w:rsidRDefault="004C1B3A" w:rsidP="00941958">
      <w:pPr>
        <w:spacing w:after="0" w:line="240" w:lineRule="auto"/>
      </w:pPr>
      <w:r>
        <w:separator/>
      </w:r>
    </w:p>
  </w:endnote>
  <w:endnote w:type="continuationSeparator" w:id="0">
    <w:p w14:paraId="5EA6228C" w14:textId="77777777" w:rsidR="004C1B3A" w:rsidRDefault="004C1B3A" w:rsidP="0094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20B0604020202020204"/>
    <w:charset w:val="B1"/>
    <w:family w:val="auto"/>
    <w:pitch w:val="variable"/>
    <w:sig w:usb0="00000A07" w:usb1="40000001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FD6B" w14:textId="77777777" w:rsidR="00467073" w:rsidRDefault="00467073" w:rsidP="00467073">
    <w:pPr>
      <w:pStyle w:val="ANPAGINA"/>
      <w:spacing w:before="0"/>
    </w:pPr>
  </w:p>
  <w:p w14:paraId="7717DF0A" w14:textId="77777777" w:rsidR="00467073" w:rsidRDefault="00467073" w:rsidP="00467073">
    <w:pPr>
      <w:pStyle w:val="ANPAGINA"/>
      <w:spacing w:before="0"/>
    </w:pPr>
    <w:r w:rsidRPr="006368B0">
      <w:fldChar w:fldCharType="begin"/>
    </w:r>
    <w:r w:rsidRPr="006368B0">
      <w:instrText xml:space="preserve"> PAGE   \* MERGEFORMAT </w:instrText>
    </w:r>
    <w:r w:rsidRPr="006368B0">
      <w:fldChar w:fldCharType="separate"/>
    </w:r>
    <w:r>
      <w:t>1</w:t>
    </w:r>
    <w:r w:rsidRPr="006368B0">
      <w:fldChar w:fldCharType="end"/>
    </w:r>
  </w:p>
  <w:p w14:paraId="69D4757F" w14:textId="77777777" w:rsidR="00467073" w:rsidRPr="006368B0" w:rsidRDefault="00467073" w:rsidP="00467073">
    <w:pPr>
      <w:pStyle w:val="ANPAGINA"/>
      <w:spacing w:before="0"/>
    </w:pPr>
  </w:p>
  <w:p w14:paraId="16AC7483" w14:textId="77777777" w:rsidR="00467073" w:rsidRDefault="00467073" w:rsidP="00467073">
    <w:pPr>
      <w:pStyle w:val="AISSN"/>
      <w:spacing w:before="0"/>
    </w:pPr>
    <w:r w:rsidRPr="006368B0">
      <w:t>ISSN: 2039-4039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946A" w14:textId="77777777" w:rsidR="00941958" w:rsidRDefault="00941958" w:rsidP="00941958">
    <w:pPr>
      <w:pStyle w:val="ANPAGINA"/>
      <w:spacing w:before="0"/>
    </w:pPr>
  </w:p>
  <w:p w14:paraId="06B16D9E" w14:textId="77777777" w:rsidR="00941958" w:rsidRDefault="00941958" w:rsidP="00941958">
    <w:pPr>
      <w:pStyle w:val="ANPAGINA"/>
      <w:spacing w:before="0"/>
    </w:pPr>
    <w:r w:rsidRPr="006368B0">
      <w:fldChar w:fldCharType="begin"/>
    </w:r>
    <w:r w:rsidRPr="006368B0">
      <w:instrText xml:space="preserve"> PAGE   \* MERGEFORMAT </w:instrText>
    </w:r>
    <w:r w:rsidRPr="006368B0">
      <w:fldChar w:fldCharType="separate"/>
    </w:r>
    <w:r>
      <w:t>1</w:t>
    </w:r>
    <w:r w:rsidRPr="006368B0">
      <w:fldChar w:fldCharType="end"/>
    </w:r>
  </w:p>
  <w:p w14:paraId="5FC70855" w14:textId="77777777" w:rsidR="00941958" w:rsidRPr="006368B0" w:rsidRDefault="00941958" w:rsidP="00941958">
    <w:pPr>
      <w:pStyle w:val="ANPAGINA"/>
      <w:spacing w:before="0"/>
    </w:pPr>
  </w:p>
  <w:p w14:paraId="71979F16" w14:textId="77777777" w:rsidR="00941958" w:rsidRDefault="00941958" w:rsidP="00941958">
    <w:pPr>
      <w:pStyle w:val="AISSN"/>
      <w:spacing w:before="0"/>
    </w:pPr>
    <w:r w:rsidRPr="006368B0">
      <w:t>ISSN: 2039-4039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D692" w14:textId="77777777" w:rsidR="004C1B3A" w:rsidRDefault="004C1B3A" w:rsidP="00941958">
      <w:pPr>
        <w:spacing w:after="0" w:line="240" w:lineRule="auto"/>
      </w:pPr>
      <w:r>
        <w:separator/>
      </w:r>
    </w:p>
  </w:footnote>
  <w:footnote w:type="continuationSeparator" w:id="0">
    <w:p w14:paraId="3D459AA1" w14:textId="77777777" w:rsidR="004C1B3A" w:rsidRDefault="004C1B3A" w:rsidP="00941958">
      <w:pPr>
        <w:spacing w:after="0" w:line="240" w:lineRule="auto"/>
      </w:pPr>
      <w:r>
        <w:continuationSeparator/>
      </w:r>
    </w:p>
  </w:footnote>
  <w:footnote w:id="1">
    <w:p w14:paraId="14858A3B" w14:textId="226D71B1" w:rsidR="00941958" w:rsidRDefault="00941958" w:rsidP="00941958">
      <w:pPr>
        <w:pStyle w:val="Testonotaapidipagina"/>
        <w:jc w:val="both"/>
      </w:pPr>
      <w:r w:rsidRPr="00941958">
        <w:rPr>
          <w:rStyle w:val="Rimandonotaapidipagina"/>
          <w:rFonts w:ascii="Rubik" w:hAnsi="Rubik" w:cs="Rubik"/>
          <w:sz w:val="18"/>
          <w:szCs w:val="18"/>
        </w:rPr>
        <w:footnoteRef/>
      </w:r>
      <w:r w:rsidRPr="00941958">
        <w:rPr>
          <w:rFonts w:ascii="Rubik" w:hAnsi="Rubik" w:cs="Rubik"/>
          <w:sz w:val="18"/>
          <w:szCs w:val="18"/>
        </w:rPr>
        <w:t xml:space="preserve"> </w:t>
      </w:r>
      <w:r w:rsidRPr="00941958">
        <w:rPr>
          <w:rFonts w:ascii="Rubik" w:hAnsi="Rubik" w:cs="Rubik"/>
          <w:sz w:val="16"/>
          <w:szCs w:val="16"/>
        </w:rPr>
        <w:t xml:space="preserve">A. Potestio, </w:t>
      </w:r>
      <w:r w:rsidRPr="00941958">
        <w:rPr>
          <w:rFonts w:ascii="Rubik" w:hAnsi="Rubik" w:cs="Rubik"/>
          <w:i/>
          <w:iCs/>
          <w:sz w:val="16"/>
          <w:szCs w:val="16"/>
        </w:rPr>
        <w:t>Introduzione. La pedagogia ‘implicita’</w:t>
      </w:r>
      <w:r w:rsidRPr="00941958">
        <w:rPr>
          <w:rFonts w:ascii="Rubik" w:hAnsi="Rubik" w:cs="Rubik"/>
          <w:sz w:val="16"/>
          <w:szCs w:val="16"/>
        </w:rPr>
        <w:t xml:space="preserve"> di </w:t>
      </w:r>
      <w:proofErr w:type="spellStart"/>
      <w:r w:rsidRPr="00941958">
        <w:rPr>
          <w:rFonts w:ascii="Rubik" w:hAnsi="Rubik" w:cs="Rubik"/>
          <w:sz w:val="16"/>
          <w:szCs w:val="16"/>
        </w:rPr>
        <w:t>Janusz</w:t>
      </w:r>
      <w:proofErr w:type="spellEnd"/>
      <w:r w:rsidRPr="00941958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41958">
        <w:rPr>
          <w:rFonts w:ascii="Rubik" w:hAnsi="Rubik" w:cs="Rubik"/>
          <w:sz w:val="16"/>
          <w:szCs w:val="16"/>
        </w:rPr>
        <w:t>Korczak</w:t>
      </w:r>
      <w:proofErr w:type="spellEnd"/>
      <w:r w:rsidRPr="00941958">
        <w:rPr>
          <w:rFonts w:ascii="Rubik" w:hAnsi="Rubik" w:cs="Rubik"/>
          <w:sz w:val="16"/>
          <w:szCs w:val="16"/>
        </w:rPr>
        <w:t>, in J</w:t>
      </w:r>
      <w:r w:rsidRPr="00941958">
        <w:rPr>
          <w:rFonts w:ascii="Rubik" w:hAnsi="Rubik" w:cs="Rubik"/>
          <w:i/>
          <w:iCs/>
          <w:sz w:val="16"/>
          <w:szCs w:val="16"/>
        </w:rPr>
        <w:t xml:space="preserve">. </w:t>
      </w:r>
      <w:proofErr w:type="spellStart"/>
      <w:r w:rsidRPr="00941958">
        <w:rPr>
          <w:rFonts w:ascii="Rubik" w:hAnsi="Rubik" w:cs="Rubik"/>
          <w:i/>
          <w:iCs/>
          <w:sz w:val="16"/>
          <w:szCs w:val="16"/>
        </w:rPr>
        <w:t>Korczak</w:t>
      </w:r>
      <w:proofErr w:type="spellEnd"/>
      <w:r w:rsidRPr="00941958">
        <w:rPr>
          <w:rFonts w:ascii="Rubik" w:hAnsi="Rubik" w:cs="Rubik"/>
          <w:i/>
          <w:iCs/>
          <w:sz w:val="16"/>
          <w:szCs w:val="16"/>
        </w:rPr>
        <w:t>, Racconti e scritti educativi. Opere inedite</w:t>
      </w:r>
      <w:r w:rsidRPr="00941958">
        <w:rPr>
          <w:rFonts w:ascii="Rubik" w:hAnsi="Rubik" w:cs="Rubik"/>
          <w:sz w:val="16"/>
          <w:szCs w:val="16"/>
        </w:rPr>
        <w:t xml:space="preserve">, vol. I, trad. it. e note di F. Fratangelo, introduzione di A. Potestio, postfazione di I. Lizzola, Edizioni Studium, Roma 2022, p. 12. La pubblicazione è composta anche da un secondo volume: </w:t>
      </w:r>
      <w:r w:rsidRPr="00941958">
        <w:rPr>
          <w:rFonts w:ascii="Rubik" w:hAnsi="Rubik" w:cs="Rubik"/>
          <w:i/>
          <w:iCs/>
          <w:sz w:val="16"/>
          <w:szCs w:val="16"/>
        </w:rPr>
        <w:t xml:space="preserve">J. </w:t>
      </w:r>
      <w:proofErr w:type="spellStart"/>
      <w:r w:rsidRPr="00941958">
        <w:rPr>
          <w:rFonts w:ascii="Rubik" w:hAnsi="Rubik" w:cs="Rubik"/>
          <w:i/>
          <w:iCs/>
          <w:sz w:val="16"/>
          <w:szCs w:val="16"/>
        </w:rPr>
        <w:t>Korczak</w:t>
      </w:r>
      <w:proofErr w:type="spellEnd"/>
      <w:r w:rsidRPr="00941958">
        <w:rPr>
          <w:rFonts w:ascii="Rubik" w:hAnsi="Rubik" w:cs="Rubik"/>
          <w:i/>
          <w:iCs/>
          <w:sz w:val="16"/>
          <w:szCs w:val="16"/>
        </w:rPr>
        <w:t>, Lettere e altri scritti. Opere inedite</w:t>
      </w:r>
      <w:r w:rsidRPr="00941958">
        <w:rPr>
          <w:rFonts w:ascii="Rubik" w:hAnsi="Rubik" w:cs="Rubik"/>
          <w:sz w:val="16"/>
          <w:szCs w:val="16"/>
        </w:rPr>
        <w:t>, vol. II, trad. it. e note di F. Fratangelo, introduzione di A. Potestio, postfazione di M. Giuliani, Edizioni Studium, Roma 2022.</w:t>
      </w:r>
    </w:p>
  </w:footnote>
  <w:footnote w:id="2">
    <w:p w14:paraId="0D5719B8" w14:textId="7839A5AC" w:rsidR="00941958" w:rsidRPr="00941958" w:rsidRDefault="00941958" w:rsidP="00941958">
      <w:pPr>
        <w:pStyle w:val="Testonotaapidipagina"/>
        <w:jc w:val="both"/>
        <w:rPr>
          <w:rFonts w:ascii="Rubik" w:hAnsi="Rubik" w:cs="Rubik"/>
        </w:rPr>
      </w:pPr>
      <w:r w:rsidRPr="00941958">
        <w:rPr>
          <w:rStyle w:val="Rimandonotaapidipagina"/>
          <w:rFonts w:ascii="Rubik" w:hAnsi="Rubik" w:cs="Rubik"/>
          <w:sz w:val="16"/>
          <w:szCs w:val="16"/>
        </w:rPr>
        <w:footnoteRef/>
      </w:r>
      <w:r w:rsidRPr="00941958">
        <w:rPr>
          <w:rFonts w:ascii="Rubik" w:hAnsi="Rubik" w:cs="Rubik"/>
          <w:sz w:val="16"/>
          <w:szCs w:val="16"/>
        </w:rPr>
        <w:t xml:space="preserve"> J. </w:t>
      </w:r>
      <w:proofErr w:type="spellStart"/>
      <w:r w:rsidRPr="00941958">
        <w:rPr>
          <w:rFonts w:ascii="Rubik" w:hAnsi="Rubik" w:cs="Rubik"/>
          <w:sz w:val="16"/>
          <w:szCs w:val="16"/>
        </w:rPr>
        <w:t>Korczak</w:t>
      </w:r>
      <w:proofErr w:type="spellEnd"/>
      <w:r w:rsidRPr="00941958">
        <w:rPr>
          <w:rFonts w:ascii="Rubik" w:hAnsi="Rubik" w:cs="Rubik"/>
          <w:sz w:val="16"/>
          <w:szCs w:val="16"/>
        </w:rPr>
        <w:t xml:space="preserve">, </w:t>
      </w:r>
      <w:r w:rsidRPr="00941958">
        <w:rPr>
          <w:rFonts w:ascii="Rubik" w:hAnsi="Rubik" w:cs="Rubik"/>
          <w:i/>
          <w:iCs/>
          <w:sz w:val="16"/>
          <w:szCs w:val="16"/>
        </w:rPr>
        <w:t>Diario del ghetto</w:t>
      </w:r>
      <w:r w:rsidRPr="00941958">
        <w:rPr>
          <w:rFonts w:ascii="Rubik" w:hAnsi="Rubik" w:cs="Rubik"/>
          <w:sz w:val="16"/>
          <w:szCs w:val="16"/>
        </w:rPr>
        <w:t xml:space="preserve"> [1958], Luni, Milano 1997, p. 20. Sul legame tra </w:t>
      </w:r>
      <w:proofErr w:type="spellStart"/>
      <w:r w:rsidRPr="00941958">
        <w:rPr>
          <w:rFonts w:ascii="Rubik" w:hAnsi="Rubik" w:cs="Rubik"/>
          <w:sz w:val="16"/>
          <w:szCs w:val="16"/>
        </w:rPr>
        <w:t>Korczak</w:t>
      </w:r>
      <w:proofErr w:type="spellEnd"/>
      <w:r w:rsidRPr="00941958">
        <w:rPr>
          <w:rFonts w:ascii="Rubik" w:hAnsi="Rubik" w:cs="Rubik"/>
          <w:sz w:val="16"/>
          <w:szCs w:val="16"/>
        </w:rPr>
        <w:t xml:space="preserve"> e il padre si veda anche B. De Serio, </w:t>
      </w:r>
      <w:r w:rsidRPr="00941958">
        <w:rPr>
          <w:rFonts w:ascii="Rubik" w:hAnsi="Rubik" w:cs="Rubik"/>
          <w:i/>
          <w:iCs/>
          <w:sz w:val="16"/>
          <w:szCs w:val="16"/>
        </w:rPr>
        <w:t>Un viaggio nell’infanzia per riconoscere il valore della relazione</w:t>
      </w:r>
      <w:r w:rsidRPr="00941958">
        <w:rPr>
          <w:rFonts w:ascii="Rubik" w:hAnsi="Rubik" w:cs="Rubik"/>
          <w:sz w:val="16"/>
          <w:szCs w:val="16"/>
        </w:rPr>
        <w:t xml:space="preserve">, in R. Pagano, </w:t>
      </w:r>
      <w:r w:rsidRPr="00941958">
        <w:rPr>
          <w:rFonts w:ascii="Rubik" w:hAnsi="Rubik" w:cs="Rubik"/>
          <w:i/>
          <w:iCs/>
          <w:sz w:val="16"/>
          <w:szCs w:val="16"/>
        </w:rPr>
        <w:t xml:space="preserve">A. </w:t>
      </w:r>
      <w:proofErr w:type="spellStart"/>
      <w:r w:rsidRPr="00941958">
        <w:rPr>
          <w:rFonts w:ascii="Rubik" w:hAnsi="Rubik" w:cs="Rubik"/>
          <w:i/>
          <w:iCs/>
          <w:sz w:val="16"/>
          <w:szCs w:val="16"/>
        </w:rPr>
        <w:t>Schiedi</w:t>
      </w:r>
      <w:proofErr w:type="spellEnd"/>
      <w:r w:rsidRPr="00941958">
        <w:rPr>
          <w:rFonts w:ascii="Rubik" w:hAnsi="Rubik" w:cs="Rubik"/>
          <w:i/>
          <w:iCs/>
          <w:sz w:val="16"/>
          <w:szCs w:val="16"/>
        </w:rPr>
        <w:t xml:space="preserve"> (</w:t>
      </w:r>
      <w:proofErr w:type="spellStart"/>
      <w:r w:rsidRPr="00941958">
        <w:rPr>
          <w:rFonts w:ascii="Rubik" w:hAnsi="Rubik" w:cs="Rubik"/>
          <w:i/>
          <w:iCs/>
          <w:sz w:val="16"/>
          <w:szCs w:val="16"/>
        </w:rPr>
        <w:t>edd</w:t>
      </w:r>
      <w:proofErr w:type="spellEnd"/>
      <w:r w:rsidRPr="00941958">
        <w:rPr>
          <w:rFonts w:ascii="Rubik" w:hAnsi="Rubik" w:cs="Rubik"/>
          <w:i/>
          <w:iCs/>
          <w:sz w:val="16"/>
          <w:szCs w:val="16"/>
        </w:rPr>
        <w:t>.), Identità, pluralità, diversità. Il riconoscimento, ovvero essere per l’altro</w:t>
      </w:r>
      <w:r w:rsidRPr="00941958">
        <w:rPr>
          <w:rFonts w:ascii="Rubik" w:hAnsi="Rubik" w:cs="Rubik"/>
          <w:sz w:val="16"/>
          <w:szCs w:val="16"/>
        </w:rPr>
        <w:t>, «Quaderni del Dipartimento Jonico», XIII (2020), pp. 76-85 (in particolare pp. 79-81).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861"/>
      <w:gridCol w:w="2009"/>
      <w:gridCol w:w="3647"/>
    </w:tblGrid>
    <w:tr w:rsidR="00941958" w:rsidRPr="001E74F2" w14:paraId="2F09FADC" w14:textId="77777777" w:rsidTr="00467073">
      <w:trPr>
        <w:trHeight w:val="993"/>
      </w:trPr>
      <w:tc>
        <w:tcPr>
          <w:tcW w:w="2028" w:type="pct"/>
        </w:tcPr>
        <w:p w14:paraId="3F8AEF21" w14:textId="77777777" w:rsidR="00941958" w:rsidRPr="001E74F2" w:rsidRDefault="00941958" w:rsidP="00941958">
          <w:pPr>
            <w:pStyle w:val="Intestazione"/>
            <w:rPr>
              <w:rFonts w:ascii="Rubik" w:hAnsi="Rubik" w:cs="Rubik"/>
              <w:color w:val="1F497D"/>
              <w:sz w:val="24"/>
            </w:rPr>
          </w:pPr>
          <w:r w:rsidRPr="00640B45">
            <w:rPr>
              <w:rFonts w:ascii="Rubik" w:hAnsi="Rubik" w:cs="Rubik"/>
              <w:noProof/>
              <w:color w:val="1F497D"/>
              <w:sz w:val="24"/>
              <w:lang w:eastAsia="it-IT"/>
            </w:rPr>
            <w:drawing>
              <wp:inline distT="0" distB="0" distL="0" distR="0" wp14:anchorId="1A792BE0" wp14:editId="3594F6BC">
                <wp:extent cx="864870" cy="560070"/>
                <wp:effectExtent l="0" t="0" r="0" b="0"/>
                <wp:docPr id="1331231400" name="Immagine 1331231400" descr="Immagine che contiene Elementi grafici, Carattere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231400" name="Immagine 1331231400" descr="Immagine che contiene Elementi grafici, Carattere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" w:type="pct"/>
          <w:vMerge w:val="restart"/>
          <w:noWrap/>
        </w:tcPr>
        <w:p w14:paraId="50049DC7" w14:textId="77777777" w:rsidR="00941958" w:rsidRPr="00C13EF3" w:rsidRDefault="00941958" w:rsidP="00467073">
          <w:pPr>
            <w:pStyle w:val="AINTESTAZIONE"/>
            <w:framePr w:hSpace="0" w:wrap="auto" w:vAnchor="margin" w:yAlign="inline"/>
          </w:pPr>
          <w:r>
            <w:br/>
          </w:r>
          <w:r>
            <w:br/>
          </w:r>
          <w:r>
            <w:br/>
            <w:t>A</w:t>
          </w:r>
          <w:r w:rsidRPr="00C13EF3">
            <w:t>nno XIII – n. 39</w:t>
          </w:r>
        </w:p>
      </w:tc>
      <w:tc>
        <w:tcPr>
          <w:tcW w:w="1916" w:type="pct"/>
        </w:tcPr>
        <w:p w14:paraId="5C25BE7F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  <w:tr w:rsidR="00941958" w:rsidRPr="001E74F2" w14:paraId="765448C9" w14:textId="77777777" w:rsidTr="003E1A7E">
      <w:trPr>
        <w:trHeight w:val="150"/>
      </w:trPr>
      <w:tc>
        <w:tcPr>
          <w:tcW w:w="2028" w:type="pct"/>
        </w:tcPr>
        <w:p w14:paraId="2CE992E7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  <w:tc>
        <w:tcPr>
          <w:tcW w:w="0" w:type="auto"/>
          <w:vMerge/>
          <w:vAlign w:val="center"/>
        </w:tcPr>
        <w:p w14:paraId="17B57E9D" w14:textId="77777777" w:rsidR="00941958" w:rsidRPr="001E74F2" w:rsidRDefault="00941958" w:rsidP="00941958">
          <w:pPr>
            <w:rPr>
              <w:rFonts w:ascii="Rubik" w:hAnsi="Rubik" w:cs="Rubik"/>
              <w:color w:val="1F497D"/>
              <w:sz w:val="24"/>
            </w:rPr>
          </w:pPr>
        </w:p>
      </w:tc>
      <w:tc>
        <w:tcPr>
          <w:tcW w:w="1916" w:type="pct"/>
        </w:tcPr>
        <w:p w14:paraId="28C70695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</w:tbl>
  <w:p w14:paraId="4C2E426D" w14:textId="77777777" w:rsidR="00941958" w:rsidRDefault="00941958" w:rsidP="004670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861"/>
      <w:gridCol w:w="2009"/>
      <w:gridCol w:w="3647"/>
    </w:tblGrid>
    <w:tr w:rsidR="00941958" w:rsidRPr="001E74F2" w14:paraId="25230AAA" w14:textId="77777777" w:rsidTr="00467073">
      <w:trPr>
        <w:trHeight w:val="993"/>
      </w:trPr>
      <w:tc>
        <w:tcPr>
          <w:tcW w:w="2028" w:type="pct"/>
        </w:tcPr>
        <w:p w14:paraId="2ECA5347" w14:textId="77777777" w:rsidR="00941958" w:rsidRPr="001E74F2" w:rsidRDefault="00941958" w:rsidP="00941958">
          <w:pPr>
            <w:pStyle w:val="Intestazione"/>
            <w:rPr>
              <w:rFonts w:ascii="Rubik" w:hAnsi="Rubik" w:cs="Rubik"/>
              <w:color w:val="1F497D"/>
              <w:sz w:val="24"/>
            </w:rPr>
          </w:pPr>
          <w:r w:rsidRPr="00640B45">
            <w:rPr>
              <w:rFonts w:ascii="Rubik" w:hAnsi="Rubik" w:cs="Rubik"/>
              <w:noProof/>
              <w:color w:val="1F497D"/>
              <w:sz w:val="24"/>
              <w:lang w:eastAsia="it-IT"/>
            </w:rPr>
            <w:drawing>
              <wp:inline distT="0" distB="0" distL="0" distR="0" wp14:anchorId="49F7254B" wp14:editId="295E8DB5">
                <wp:extent cx="864870" cy="560070"/>
                <wp:effectExtent l="0" t="0" r="0" b="0"/>
                <wp:docPr id="1680304716" name="Immagine 1680304716" descr="Immagine che contiene Elementi grafici, Carattere, design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231400" name="Immagine 1331231400" descr="Immagine che contiene Elementi grafici, Carattere, design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5" w:type="pct"/>
          <w:vMerge w:val="restart"/>
          <w:noWrap/>
        </w:tcPr>
        <w:p w14:paraId="22E9A17D" w14:textId="77777777" w:rsidR="00941958" w:rsidRPr="00C13EF3" w:rsidRDefault="00941958" w:rsidP="00467073">
          <w:pPr>
            <w:pStyle w:val="AINTESTAZIONE"/>
            <w:framePr w:hSpace="0" w:wrap="auto" w:vAnchor="margin" w:yAlign="inline"/>
          </w:pPr>
          <w:r>
            <w:br/>
          </w:r>
          <w:r>
            <w:br/>
          </w:r>
          <w:r>
            <w:br/>
            <w:t>A</w:t>
          </w:r>
          <w:r w:rsidRPr="00C13EF3">
            <w:t>nno XIII – n. 39</w:t>
          </w:r>
        </w:p>
      </w:tc>
      <w:tc>
        <w:tcPr>
          <w:tcW w:w="1916" w:type="pct"/>
        </w:tcPr>
        <w:p w14:paraId="77E4F1F4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  <w:tr w:rsidR="00941958" w:rsidRPr="001E74F2" w14:paraId="5C7685C8" w14:textId="77777777" w:rsidTr="003E1A7E">
      <w:trPr>
        <w:trHeight w:val="150"/>
      </w:trPr>
      <w:tc>
        <w:tcPr>
          <w:tcW w:w="2028" w:type="pct"/>
        </w:tcPr>
        <w:p w14:paraId="4C5CDA53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  <w:tc>
        <w:tcPr>
          <w:tcW w:w="0" w:type="auto"/>
          <w:vMerge/>
          <w:vAlign w:val="center"/>
        </w:tcPr>
        <w:p w14:paraId="21306F55" w14:textId="77777777" w:rsidR="00941958" w:rsidRPr="001E74F2" w:rsidRDefault="00941958" w:rsidP="00941958">
          <w:pPr>
            <w:rPr>
              <w:rFonts w:ascii="Rubik" w:hAnsi="Rubik" w:cs="Rubik"/>
              <w:color w:val="1F497D"/>
              <w:sz w:val="24"/>
            </w:rPr>
          </w:pPr>
        </w:p>
      </w:tc>
      <w:tc>
        <w:tcPr>
          <w:tcW w:w="1916" w:type="pct"/>
        </w:tcPr>
        <w:p w14:paraId="5A2BC6CD" w14:textId="77777777" w:rsidR="00941958" w:rsidRPr="001E74F2" w:rsidRDefault="00941958" w:rsidP="00941958">
          <w:pPr>
            <w:pStyle w:val="Intestazione"/>
            <w:rPr>
              <w:rFonts w:ascii="Rubik" w:eastAsia="MS Gothic" w:hAnsi="Rubik" w:cs="Rubik"/>
              <w:b/>
              <w:bCs/>
              <w:color w:val="1F497D"/>
              <w:sz w:val="24"/>
            </w:rPr>
          </w:pPr>
        </w:p>
      </w:tc>
    </w:tr>
  </w:tbl>
  <w:p w14:paraId="56C62463" w14:textId="77777777" w:rsidR="00941958" w:rsidRDefault="00941958">
    <w:pPr>
      <w:pStyle w:val="Intestazione"/>
    </w:pPr>
  </w:p>
  <w:p w14:paraId="3D44B3B7" w14:textId="77777777" w:rsidR="00467073" w:rsidRDefault="0046707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58"/>
    <w:rsid w:val="000A2C7E"/>
    <w:rsid w:val="002D4786"/>
    <w:rsid w:val="00467073"/>
    <w:rsid w:val="004C1B3A"/>
    <w:rsid w:val="00941958"/>
    <w:rsid w:val="00A9124A"/>
    <w:rsid w:val="00BC209E"/>
    <w:rsid w:val="00C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CB22"/>
  <w15:chartTrackingRefBased/>
  <w15:docId w15:val="{D0E01534-1CD4-43B5-9A0F-46A1312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L1 Header"/>
    <w:basedOn w:val="Normale"/>
    <w:link w:val="IntestazioneCarattere"/>
    <w:uiPriority w:val="99"/>
    <w:unhideWhenUsed/>
    <w:rsid w:val="00941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uiPriority w:val="99"/>
    <w:rsid w:val="00941958"/>
  </w:style>
  <w:style w:type="paragraph" w:styleId="Pidipagina">
    <w:name w:val="footer"/>
    <w:basedOn w:val="Normale"/>
    <w:link w:val="PidipaginaCarattere"/>
    <w:uiPriority w:val="99"/>
    <w:unhideWhenUsed/>
    <w:rsid w:val="00941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958"/>
  </w:style>
  <w:style w:type="paragraph" w:customStyle="1" w:styleId="AINTESTAZIONE">
    <w:name w:val="A_INTESTAZIONE"/>
    <w:basedOn w:val="Normale"/>
    <w:qFormat/>
    <w:rsid w:val="00941958"/>
    <w:pPr>
      <w:framePr w:hSpace="187" w:wrap="around" w:vAnchor="text" w:hAnchor="text" w:y="1"/>
      <w:spacing w:after="0" w:line="240" w:lineRule="auto"/>
      <w:jc w:val="center"/>
    </w:pPr>
    <w:rPr>
      <w:rFonts w:ascii="Rubik" w:eastAsia="Calibri" w:hAnsi="Rubik" w:cs="Rubik"/>
      <w:b/>
      <w:color w:val="000090"/>
      <w:kern w:val="0"/>
      <w:lang w:val="fr-FR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19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19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1958"/>
    <w:rPr>
      <w:vertAlign w:val="superscript"/>
    </w:rPr>
  </w:style>
  <w:style w:type="paragraph" w:customStyle="1" w:styleId="AISSN">
    <w:name w:val="A_ISSN"/>
    <w:basedOn w:val="Pidipagina"/>
    <w:qFormat/>
    <w:rsid w:val="00941958"/>
    <w:pPr>
      <w:spacing w:before="240"/>
      <w:jc w:val="center"/>
    </w:pPr>
    <w:rPr>
      <w:rFonts w:ascii="Rubik" w:eastAsia="Calibri" w:hAnsi="Rubik" w:cs="Rubik"/>
      <w:color w:val="0D2690"/>
      <w:kern w:val="0"/>
      <w:sz w:val="16"/>
      <w:szCs w:val="16"/>
      <w:lang w:val="fr-FR"/>
      <w14:ligatures w14:val="none"/>
    </w:rPr>
  </w:style>
  <w:style w:type="paragraph" w:customStyle="1" w:styleId="ANPAGINA">
    <w:name w:val="A_N.PAGINA"/>
    <w:basedOn w:val="Pidipagina"/>
    <w:qFormat/>
    <w:rsid w:val="00941958"/>
    <w:pPr>
      <w:spacing w:before="240"/>
      <w:jc w:val="center"/>
    </w:pPr>
    <w:rPr>
      <w:rFonts w:ascii="Rubik" w:eastAsia="Calibri" w:hAnsi="Rubik" w:cs="Rubik"/>
      <w:b/>
      <w:color w:val="0D2690"/>
      <w:kern w:val="0"/>
      <w:sz w:val="18"/>
      <w:szCs w:val="16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2BE840C-DBAC-4F7A-8F13-A15C5C00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Guerini</dc:creator>
  <cp:keywords/>
  <dc:description/>
  <cp:lastModifiedBy>Paolo Bertuletti</cp:lastModifiedBy>
  <cp:revision>3</cp:revision>
  <dcterms:created xsi:type="dcterms:W3CDTF">2023-08-16T13:44:00Z</dcterms:created>
  <dcterms:modified xsi:type="dcterms:W3CDTF">2024-01-24T15:36:00Z</dcterms:modified>
</cp:coreProperties>
</file>